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b w:val="0"/>
          <w:bCs w:val="0"/>
          <w:sz w:val="22"/>
          <w:szCs w:val="22"/>
          <w:lang w:val="en-US"/>
        </w:rPr>
        <w:id w:val="-969895460"/>
        <w:docPartObj>
          <w:docPartGallery w:val="Table of Contents"/>
          <w:docPartUnique/>
        </w:docPartObj>
      </w:sdtPr>
      <w:sdtEndPr/>
      <w:sdtContent>
        <w:p w14:paraId="72F5436D" w14:textId="77777777" w:rsidR="00E8101B" w:rsidRDefault="006C2423" w:rsidP="00484E8E">
          <w:pPr>
            <w:pStyle w:val="TOCHeading"/>
            <w:spacing w:before="120"/>
            <w:rPr>
              <w:noProof/>
            </w:rPr>
          </w:pPr>
          <w:r w:rsidRPr="002A74DF">
            <w:rPr>
              <w:rFonts w:ascii="Verdana" w:eastAsiaTheme="minorHAnsi" w:hAnsi="Verdana" w:cs="Arial"/>
              <w:sz w:val="24"/>
              <w:szCs w:val="24"/>
            </w:rPr>
            <w:t>Tabl</w:t>
          </w:r>
          <w:r w:rsidR="006840C0" w:rsidRPr="002A74DF">
            <w:rPr>
              <w:rFonts w:ascii="Verdana" w:eastAsiaTheme="minorHAnsi" w:hAnsi="Verdana" w:cs="Arial"/>
              <w:sz w:val="24"/>
              <w:szCs w:val="24"/>
            </w:rPr>
            <w:t>e of Contents</w:t>
          </w:r>
          <w:r w:rsidR="000E6D65" w:rsidRPr="002A74DF">
            <w:rPr>
              <w:rFonts w:ascii="Verdana" w:eastAsiaTheme="minorHAnsi" w:hAnsi="Verdana" w:cs="Arial"/>
              <w:sz w:val="24"/>
              <w:szCs w:val="24"/>
            </w:rPr>
            <w:fldChar w:fldCharType="begin"/>
          </w:r>
          <w:r w:rsidR="000E6D65" w:rsidRPr="002A74DF">
            <w:rPr>
              <w:rFonts w:ascii="Verdana" w:eastAsiaTheme="minorHAnsi" w:hAnsi="Verdana" w:cs="Arial"/>
              <w:sz w:val="24"/>
              <w:szCs w:val="24"/>
            </w:rPr>
            <w:instrText xml:space="preserve"> TOC \o "1-3" \u </w:instrText>
          </w:r>
          <w:r w:rsidR="000E6D65" w:rsidRPr="002A74DF">
            <w:rPr>
              <w:rFonts w:ascii="Verdana" w:eastAsiaTheme="minorHAnsi" w:hAnsi="Verdana" w:cs="Arial"/>
              <w:sz w:val="24"/>
              <w:szCs w:val="24"/>
            </w:rPr>
            <w:fldChar w:fldCharType="separate"/>
          </w:r>
        </w:p>
        <w:p w14:paraId="4628B2DE" w14:textId="3228A623" w:rsidR="00E8101B" w:rsidRDefault="00E8101B">
          <w:pPr>
            <w:pStyle w:val="TOC1"/>
            <w:tabs>
              <w:tab w:val="left" w:pos="660"/>
              <w:tab w:val="right" w:leader="dot" w:pos="9912"/>
            </w:tabs>
            <w:rPr>
              <w:rFonts w:cstheme="minorBidi"/>
              <w:noProof/>
              <w:lang w:val="en-AU" w:eastAsia="en-AU"/>
            </w:rPr>
          </w:pPr>
          <w:r w:rsidRPr="00E40F28">
            <w:rPr>
              <w:rFonts w:ascii="Verdana" w:eastAsiaTheme="minorHAnsi" w:hAnsi="Verdana" w:cs="Arial"/>
              <w:noProof/>
            </w:rPr>
            <w:t>1.0</w:t>
          </w:r>
          <w:r>
            <w:rPr>
              <w:rFonts w:cstheme="minorBidi"/>
              <w:noProof/>
              <w:lang w:val="en-AU" w:eastAsia="en-AU"/>
            </w:rPr>
            <w:tab/>
          </w:r>
          <w:r w:rsidRPr="00E40F28">
            <w:rPr>
              <w:rFonts w:ascii="Verdana" w:eastAsiaTheme="minorHAnsi" w:hAnsi="Verdana" w:cs="Arial"/>
              <w:noProof/>
            </w:rPr>
            <w:t>Objectives</w:t>
          </w:r>
          <w:r>
            <w:rPr>
              <w:noProof/>
            </w:rPr>
            <w:tab/>
          </w:r>
          <w:r>
            <w:rPr>
              <w:noProof/>
            </w:rPr>
            <w:fldChar w:fldCharType="begin"/>
          </w:r>
          <w:r>
            <w:rPr>
              <w:noProof/>
            </w:rPr>
            <w:instrText xml:space="preserve"> PAGEREF _Toc118201646 \h </w:instrText>
          </w:r>
          <w:r>
            <w:rPr>
              <w:noProof/>
            </w:rPr>
          </w:r>
          <w:r>
            <w:rPr>
              <w:noProof/>
            </w:rPr>
            <w:fldChar w:fldCharType="separate"/>
          </w:r>
          <w:r>
            <w:rPr>
              <w:noProof/>
            </w:rPr>
            <w:t>1</w:t>
          </w:r>
          <w:r>
            <w:rPr>
              <w:noProof/>
            </w:rPr>
            <w:fldChar w:fldCharType="end"/>
          </w:r>
        </w:p>
        <w:p w14:paraId="2262DBAC" w14:textId="5B07CED3"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2.0 Scope</w:t>
          </w:r>
          <w:r>
            <w:rPr>
              <w:noProof/>
            </w:rPr>
            <w:tab/>
          </w:r>
          <w:r>
            <w:rPr>
              <w:noProof/>
            </w:rPr>
            <w:fldChar w:fldCharType="begin"/>
          </w:r>
          <w:r>
            <w:rPr>
              <w:noProof/>
            </w:rPr>
            <w:instrText xml:space="preserve"> PAGEREF _Toc118201647 \h </w:instrText>
          </w:r>
          <w:r>
            <w:rPr>
              <w:noProof/>
            </w:rPr>
          </w:r>
          <w:r>
            <w:rPr>
              <w:noProof/>
            </w:rPr>
            <w:fldChar w:fldCharType="separate"/>
          </w:r>
          <w:r>
            <w:rPr>
              <w:noProof/>
            </w:rPr>
            <w:t>1</w:t>
          </w:r>
          <w:r>
            <w:rPr>
              <w:noProof/>
            </w:rPr>
            <w:fldChar w:fldCharType="end"/>
          </w:r>
        </w:p>
        <w:p w14:paraId="459213F9" w14:textId="2FD5EF1C"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3.0 Content</w:t>
          </w:r>
          <w:r>
            <w:rPr>
              <w:noProof/>
            </w:rPr>
            <w:tab/>
          </w:r>
          <w:r>
            <w:rPr>
              <w:noProof/>
            </w:rPr>
            <w:fldChar w:fldCharType="begin"/>
          </w:r>
          <w:r>
            <w:rPr>
              <w:noProof/>
            </w:rPr>
            <w:instrText xml:space="preserve"> PAGEREF _Toc118201648 \h </w:instrText>
          </w:r>
          <w:r>
            <w:rPr>
              <w:noProof/>
            </w:rPr>
          </w:r>
          <w:r>
            <w:rPr>
              <w:noProof/>
            </w:rPr>
            <w:fldChar w:fldCharType="separate"/>
          </w:r>
          <w:r>
            <w:rPr>
              <w:noProof/>
            </w:rPr>
            <w:t>1</w:t>
          </w:r>
          <w:r>
            <w:rPr>
              <w:noProof/>
            </w:rPr>
            <w:fldChar w:fldCharType="end"/>
          </w:r>
        </w:p>
        <w:p w14:paraId="10152408" w14:textId="2F19D8A8"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3.1 Background</w:t>
          </w:r>
          <w:r>
            <w:rPr>
              <w:noProof/>
            </w:rPr>
            <w:tab/>
          </w:r>
          <w:r>
            <w:rPr>
              <w:noProof/>
            </w:rPr>
            <w:fldChar w:fldCharType="begin"/>
          </w:r>
          <w:r>
            <w:rPr>
              <w:noProof/>
            </w:rPr>
            <w:instrText xml:space="preserve"> PAGEREF _Toc118201649 \h </w:instrText>
          </w:r>
          <w:r>
            <w:rPr>
              <w:noProof/>
            </w:rPr>
          </w:r>
          <w:r>
            <w:rPr>
              <w:noProof/>
            </w:rPr>
            <w:fldChar w:fldCharType="separate"/>
          </w:r>
          <w:r>
            <w:rPr>
              <w:noProof/>
            </w:rPr>
            <w:t>2</w:t>
          </w:r>
          <w:r>
            <w:rPr>
              <w:noProof/>
            </w:rPr>
            <w:fldChar w:fldCharType="end"/>
          </w:r>
        </w:p>
        <w:p w14:paraId="161401F4" w14:textId="65A7F118"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3.2 Principles of Director Delegation</w:t>
          </w:r>
          <w:r>
            <w:rPr>
              <w:noProof/>
            </w:rPr>
            <w:tab/>
          </w:r>
          <w:r>
            <w:rPr>
              <w:noProof/>
            </w:rPr>
            <w:fldChar w:fldCharType="begin"/>
          </w:r>
          <w:r>
            <w:rPr>
              <w:noProof/>
            </w:rPr>
            <w:instrText xml:space="preserve"> PAGEREF _Toc118201650 \h </w:instrText>
          </w:r>
          <w:r>
            <w:rPr>
              <w:noProof/>
            </w:rPr>
          </w:r>
          <w:r>
            <w:rPr>
              <w:noProof/>
            </w:rPr>
            <w:fldChar w:fldCharType="separate"/>
          </w:r>
          <w:r>
            <w:rPr>
              <w:noProof/>
            </w:rPr>
            <w:t>2</w:t>
          </w:r>
          <w:r>
            <w:rPr>
              <w:noProof/>
            </w:rPr>
            <w:fldChar w:fldCharType="end"/>
          </w:r>
        </w:p>
        <w:p w14:paraId="189BA637" w14:textId="70BBB6D0"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3.3 Authority Categories and Commitment Thresholds</w:t>
          </w:r>
          <w:r>
            <w:rPr>
              <w:noProof/>
            </w:rPr>
            <w:tab/>
          </w:r>
          <w:r>
            <w:rPr>
              <w:noProof/>
            </w:rPr>
            <w:fldChar w:fldCharType="begin"/>
          </w:r>
          <w:r>
            <w:rPr>
              <w:noProof/>
            </w:rPr>
            <w:instrText xml:space="preserve"> PAGEREF _Toc118201651 \h </w:instrText>
          </w:r>
          <w:r>
            <w:rPr>
              <w:noProof/>
            </w:rPr>
          </w:r>
          <w:r>
            <w:rPr>
              <w:noProof/>
            </w:rPr>
            <w:fldChar w:fldCharType="separate"/>
          </w:r>
          <w:r>
            <w:rPr>
              <w:noProof/>
            </w:rPr>
            <w:t>3</w:t>
          </w:r>
          <w:r>
            <w:rPr>
              <w:noProof/>
            </w:rPr>
            <w:fldChar w:fldCharType="end"/>
          </w:r>
        </w:p>
        <w:p w14:paraId="264444C7" w14:textId="4AB576D3"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3.4 Guidelines for the Application of Delegated Authority</w:t>
          </w:r>
          <w:r>
            <w:rPr>
              <w:noProof/>
            </w:rPr>
            <w:tab/>
          </w:r>
          <w:r>
            <w:rPr>
              <w:noProof/>
            </w:rPr>
            <w:fldChar w:fldCharType="begin"/>
          </w:r>
          <w:r>
            <w:rPr>
              <w:noProof/>
            </w:rPr>
            <w:instrText xml:space="preserve"> PAGEREF _Toc118201652 \h </w:instrText>
          </w:r>
          <w:r>
            <w:rPr>
              <w:noProof/>
            </w:rPr>
          </w:r>
          <w:r>
            <w:rPr>
              <w:noProof/>
            </w:rPr>
            <w:fldChar w:fldCharType="separate"/>
          </w:r>
          <w:r>
            <w:rPr>
              <w:noProof/>
            </w:rPr>
            <w:t>3</w:t>
          </w:r>
          <w:r>
            <w:rPr>
              <w:noProof/>
            </w:rPr>
            <w:fldChar w:fldCharType="end"/>
          </w:r>
        </w:p>
        <w:p w14:paraId="240F53FF" w14:textId="73AD863B"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3.4.1 Operational Expenditure and Commitments</w:t>
          </w:r>
          <w:r>
            <w:rPr>
              <w:noProof/>
            </w:rPr>
            <w:tab/>
          </w:r>
          <w:r>
            <w:rPr>
              <w:noProof/>
            </w:rPr>
            <w:fldChar w:fldCharType="begin"/>
          </w:r>
          <w:r>
            <w:rPr>
              <w:noProof/>
            </w:rPr>
            <w:instrText xml:space="preserve"> PAGEREF _Toc118201653 \h </w:instrText>
          </w:r>
          <w:r>
            <w:rPr>
              <w:noProof/>
            </w:rPr>
          </w:r>
          <w:r>
            <w:rPr>
              <w:noProof/>
            </w:rPr>
            <w:fldChar w:fldCharType="separate"/>
          </w:r>
          <w:r>
            <w:rPr>
              <w:noProof/>
            </w:rPr>
            <w:t>3</w:t>
          </w:r>
          <w:r>
            <w:rPr>
              <w:noProof/>
            </w:rPr>
            <w:fldChar w:fldCharType="end"/>
          </w:r>
        </w:p>
        <w:p w14:paraId="7B161EF9" w14:textId="3AC437C7"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3.4.2 Investments</w:t>
          </w:r>
          <w:r>
            <w:rPr>
              <w:noProof/>
            </w:rPr>
            <w:tab/>
          </w:r>
          <w:r>
            <w:rPr>
              <w:noProof/>
            </w:rPr>
            <w:fldChar w:fldCharType="begin"/>
          </w:r>
          <w:r>
            <w:rPr>
              <w:noProof/>
            </w:rPr>
            <w:instrText xml:space="preserve"> PAGEREF _Toc118201654 \h </w:instrText>
          </w:r>
          <w:r>
            <w:rPr>
              <w:noProof/>
            </w:rPr>
          </w:r>
          <w:r>
            <w:rPr>
              <w:noProof/>
            </w:rPr>
            <w:fldChar w:fldCharType="separate"/>
          </w:r>
          <w:r>
            <w:rPr>
              <w:noProof/>
            </w:rPr>
            <w:t>3</w:t>
          </w:r>
          <w:r>
            <w:rPr>
              <w:noProof/>
            </w:rPr>
            <w:fldChar w:fldCharType="end"/>
          </w:r>
        </w:p>
        <w:p w14:paraId="1AAF1F49" w14:textId="0ABAFEDA"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3.4.3 Delegation by Director of ad-hoc Power and Authority</w:t>
          </w:r>
          <w:r>
            <w:rPr>
              <w:noProof/>
            </w:rPr>
            <w:tab/>
          </w:r>
          <w:r>
            <w:rPr>
              <w:noProof/>
            </w:rPr>
            <w:fldChar w:fldCharType="begin"/>
          </w:r>
          <w:r>
            <w:rPr>
              <w:noProof/>
            </w:rPr>
            <w:instrText xml:space="preserve"> PAGEREF _Toc118201655 \h </w:instrText>
          </w:r>
          <w:r>
            <w:rPr>
              <w:noProof/>
            </w:rPr>
          </w:r>
          <w:r>
            <w:rPr>
              <w:noProof/>
            </w:rPr>
            <w:fldChar w:fldCharType="separate"/>
          </w:r>
          <w:r>
            <w:rPr>
              <w:noProof/>
            </w:rPr>
            <w:t>3</w:t>
          </w:r>
          <w:r>
            <w:rPr>
              <w:noProof/>
            </w:rPr>
            <w:fldChar w:fldCharType="end"/>
          </w:r>
        </w:p>
        <w:p w14:paraId="4B4FEB7E" w14:textId="22AF1647"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3.4.4 Emergency Decision Making</w:t>
          </w:r>
          <w:r>
            <w:rPr>
              <w:noProof/>
            </w:rPr>
            <w:tab/>
          </w:r>
          <w:r>
            <w:rPr>
              <w:noProof/>
            </w:rPr>
            <w:fldChar w:fldCharType="begin"/>
          </w:r>
          <w:r>
            <w:rPr>
              <w:noProof/>
            </w:rPr>
            <w:instrText xml:space="preserve"> PAGEREF _Toc118201656 \h </w:instrText>
          </w:r>
          <w:r>
            <w:rPr>
              <w:noProof/>
            </w:rPr>
          </w:r>
          <w:r>
            <w:rPr>
              <w:noProof/>
            </w:rPr>
            <w:fldChar w:fldCharType="separate"/>
          </w:r>
          <w:r>
            <w:rPr>
              <w:noProof/>
            </w:rPr>
            <w:t>4</w:t>
          </w:r>
          <w:r>
            <w:rPr>
              <w:noProof/>
            </w:rPr>
            <w:fldChar w:fldCharType="end"/>
          </w:r>
        </w:p>
        <w:p w14:paraId="540A0E8C" w14:textId="584A2FCF"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3.5 Framework of Internal Control</w:t>
          </w:r>
          <w:r>
            <w:rPr>
              <w:noProof/>
            </w:rPr>
            <w:tab/>
          </w:r>
          <w:r>
            <w:rPr>
              <w:noProof/>
            </w:rPr>
            <w:fldChar w:fldCharType="begin"/>
          </w:r>
          <w:r>
            <w:rPr>
              <w:noProof/>
            </w:rPr>
            <w:instrText xml:space="preserve"> PAGEREF _Toc118201657 \h </w:instrText>
          </w:r>
          <w:r>
            <w:rPr>
              <w:noProof/>
            </w:rPr>
          </w:r>
          <w:r>
            <w:rPr>
              <w:noProof/>
            </w:rPr>
            <w:fldChar w:fldCharType="separate"/>
          </w:r>
          <w:r>
            <w:rPr>
              <w:noProof/>
            </w:rPr>
            <w:t>4</w:t>
          </w:r>
          <w:r>
            <w:rPr>
              <w:noProof/>
            </w:rPr>
            <w:fldChar w:fldCharType="end"/>
          </w:r>
        </w:p>
        <w:p w14:paraId="20DCFF88" w14:textId="785D0570"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3.6 Breaches</w:t>
          </w:r>
          <w:r>
            <w:rPr>
              <w:noProof/>
            </w:rPr>
            <w:tab/>
          </w:r>
          <w:r>
            <w:rPr>
              <w:noProof/>
            </w:rPr>
            <w:fldChar w:fldCharType="begin"/>
          </w:r>
          <w:r>
            <w:rPr>
              <w:noProof/>
            </w:rPr>
            <w:instrText xml:space="preserve"> PAGEREF _Toc118201658 \h </w:instrText>
          </w:r>
          <w:r>
            <w:rPr>
              <w:noProof/>
            </w:rPr>
          </w:r>
          <w:r>
            <w:rPr>
              <w:noProof/>
            </w:rPr>
            <w:fldChar w:fldCharType="separate"/>
          </w:r>
          <w:r>
            <w:rPr>
              <w:noProof/>
            </w:rPr>
            <w:t>4</w:t>
          </w:r>
          <w:r>
            <w:rPr>
              <w:noProof/>
            </w:rPr>
            <w:fldChar w:fldCharType="end"/>
          </w:r>
        </w:p>
        <w:p w14:paraId="5943C2BF" w14:textId="20395F3B"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4.0 Responsibilities</w:t>
          </w:r>
          <w:r>
            <w:rPr>
              <w:noProof/>
            </w:rPr>
            <w:tab/>
          </w:r>
          <w:r>
            <w:rPr>
              <w:noProof/>
            </w:rPr>
            <w:fldChar w:fldCharType="begin"/>
          </w:r>
          <w:r>
            <w:rPr>
              <w:noProof/>
            </w:rPr>
            <w:instrText xml:space="preserve"> PAGEREF _Toc118201659 \h </w:instrText>
          </w:r>
          <w:r>
            <w:rPr>
              <w:noProof/>
            </w:rPr>
          </w:r>
          <w:r>
            <w:rPr>
              <w:noProof/>
            </w:rPr>
            <w:fldChar w:fldCharType="separate"/>
          </w:r>
          <w:r>
            <w:rPr>
              <w:noProof/>
            </w:rPr>
            <w:t>4</w:t>
          </w:r>
          <w:r>
            <w:rPr>
              <w:noProof/>
            </w:rPr>
            <w:fldChar w:fldCharType="end"/>
          </w:r>
        </w:p>
        <w:p w14:paraId="1792F806" w14:textId="30CC5D25"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5.0 Review and Consultation</w:t>
          </w:r>
          <w:r>
            <w:rPr>
              <w:noProof/>
            </w:rPr>
            <w:tab/>
          </w:r>
          <w:r>
            <w:rPr>
              <w:noProof/>
            </w:rPr>
            <w:fldChar w:fldCharType="begin"/>
          </w:r>
          <w:r>
            <w:rPr>
              <w:noProof/>
            </w:rPr>
            <w:instrText xml:space="preserve"> PAGEREF _Toc118201660 \h </w:instrText>
          </w:r>
          <w:r>
            <w:rPr>
              <w:noProof/>
            </w:rPr>
          </w:r>
          <w:r>
            <w:rPr>
              <w:noProof/>
            </w:rPr>
            <w:fldChar w:fldCharType="separate"/>
          </w:r>
          <w:r>
            <w:rPr>
              <w:noProof/>
            </w:rPr>
            <w:t>5</w:t>
          </w:r>
          <w:r>
            <w:rPr>
              <w:noProof/>
            </w:rPr>
            <w:fldChar w:fldCharType="end"/>
          </w:r>
        </w:p>
        <w:p w14:paraId="7C41C176" w14:textId="28122AE9"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6.0 Approval</w:t>
          </w:r>
          <w:r>
            <w:rPr>
              <w:noProof/>
            </w:rPr>
            <w:tab/>
          </w:r>
          <w:r>
            <w:rPr>
              <w:noProof/>
            </w:rPr>
            <w:fldChar w:fldCharType="begin"/>
          </w:r>
          <w:r>
            <w:rPr>
              <w:noProof/>
            </w:rPr>
            <w:instrText xml:space="preserve"> PAGEREF _Toc118201661 \h </w:instrText>
          </w:r>
          <w:r>
            <w:rPr>
              <w:noProof/>
            </w:rPr>
          </w:r>
          <w:r>
            <w:rPr>
              <w:noProof/>
            </w:rPr>
            <w:fldChar w:fldCharType="separate"/>
          </w:r>
          <w:r>
            <w:rPr>
              <w:noProof/>
            </w:rPr>
            <w:t>5</w:t>
          </w:r>
          <w:r>
            <w:rPr>
              <w:noProof/>
            </w:rPr>
            <w:fldChar w:fldCharType="end"/>
          </w:r>
        </w:p>
        <w:p w14:paraId="01A7D06B" w14:textId="2E3608C1"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7.0 References</w:t>
          </w:r>
          <w:r>
            <w:rPr>
              <w:noProof/>
            </w:rPr>
            <w:tab/>
          </w:r>
          <w:r>
            <w:rPr>
              <w:noProof/>
            </w:rPr>
            <w:fldChar w:fldCharType="begin"/>
          </w:r>
          <w:r>
            <w:rPr>
              <w:noProof/>
            </w:rPr>
            <w:instrText xml:space="preserve"> PAGEREF _Toc118201662 \h </w:instrText>
          </w:r>
          <w:r>
            <w:rPr>
              <w:noProof/>
            </w:rPr>
          </w:r>
          <w:r>
            <w:rPr>
              <w:noProof/>
            </w:rPr>
            <w:fldChar w:fldCharType="separate"/>
          </w:r>
          <w:r>
            <w:rPr>
              <w:noProof/>
            </w:rPr>
            <w:t>5</w:t>
          </w:r>
          <w:r>
            <w:rPr>
              <w:noProof/>
            </w:rPr>
            <w:fldChar w:fldCharType="end"/>
          </w:r>
        </w:p>
        <w:p w14:paraId="1DF358CA" w14:textId="2DA2BB0D"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8.0 Definitions</w:t>
          </w:r>
          <w:r>
            <w:rPr>
              <w:noProof/>
            </w:rPr>
            <w:tab/>
          </w:r>
          <w:r>
            <w:rPr>
              <w:noProof/>
            </w:rPr>
            <w:fldChar w:fldCharType="begin"/>
          </w:r>
          <w:r>
            <w:rPr>
              <w:noProof/>
            </w:rPr>
            <w:instrText xml:space="preserve"> PAGEREF _Toc118201663 \h </w:instrText>
          </w:r>
          <w:r>
            <w:rPr>
              <w:noProof/>
            </w:rPr>
          </w:r>
          <w:r>
            <w:rPr>
              <w:noProof/>
            </w:rPr>
            <w:fldChar w:fldCharType="separate"/>
          </w:r>
          <w:r>
            <w:rPr>
              <w:noProof/>
            </w:rPr>
            <w:t>5</w:t>
          </w:r>
          <w:r>
            <w:rPr>
              <w:noProof/>
            </w:rPr>
            <w:fldChar w:fldCharType="end"/>
          </w:r>
        </w:p>
        <w:p w14:paraId="1BA1EE8A" w14:textId="0694A7F0" w:rsidR="00E8101B" w:rsidRDefault="00E8101B">
          <w:pPr>
            <w:pStyle w:val="TOC1"/>
            <w:tabs>
              <w:tab w:val="right" w:leader="dot" w:pos="9912"/>
            </w:tabs>
            <w:rPr>
              <w:rFonts w:cstheme="minorBidi"/>
              <w:noProof/>
              <w:lang w:val="en-AU" w:eastAsia="en-AU"/>
            </w:rPr>
          </w:pPr>
          <w:r w:rsidRPr="00E40F28">
            <w:rPr>
              <w:rFonts w:ascii="Verdana" w:eastAsiaTheme="minorHAnsi" w:hAnsi="Verdana" w:cs="Arial"/>
              <w:noProof/>
            </w:rPr>
            <w:t>Appendix One</w:t>
          </w:r>
          <w:r>
            <w:rPr>
              <w:noProof/>
            </w:rPr>
            <w:tab/>
          </w:r>
          <w:r>
            <w:rPr>
              <w:noProof/>
            </w:rPr>
            <w:fldChar w:fldCharType="begin"/>
          </w:r>
          <w:r>
            <w:rPr>
              <w:noProof/>
            </w:rPr>
            <w:instrText xml:space="preserve"> PAGEREF _Toc118201664 \h </w:instrText>
          </w:r>
          <w:r>
            <w:rPr>
              <w:noProof/>
            </w:rPr>
          </w:r>
          <w:r>
            <w:rPr>
              <w:noProof/>
            </w:rPr>
            <w:fldChar w:fldCharType="separate"/>
          </w:r>
          <w:r>
            <w:rPr>
              <w:noProof/>
            </w:rPr>
            <w:t>6</w:t>
          </w:r>
          <w:r>
            <w:rPr>
              <w:noProof/>
            </w:rPr>
            <w:fldChar w:fldCharType="end"/>
          </w:r>
        </w:p>
        <w:p w14:paraId="6396AE87" w14:textId="01D72C1C" w:rsidR="006C2423" w:rsidRPr="009F4083" w:rsidRDefault="000E6D65" w:rsidP="00484E8E">
          <w:pPr>
            <w:pStyle w:val="TOC1"/>
            <w:tabs>
              <w:tab w:val="right" w:leader="dot" w:pos="9912"/>
            </w:tabs>
          </w:pPr>
          <w:r w:rsidRPr="002A74DF">
            <w:rPr>
              <w:rFonts w:ascii="Verdana" w:eastAsiaTheme="minorHAnsi" w:hAnsi="Verdana" w:cs="Arial"/>
              <w:sz w:val="18"/>
              <w:szCs w:val="24"/>
            </w:rPr>
            <w:fldChar w:fldCharType="end"/>
          </w:r>
        </w:p>
      </w:sdtContent>
    </w:sdt>
    <w:p w14:paraId="3887DC77" w14:textId="08B4F20C" w:rsidR="00186CD3" w:rsidRDefault="006840C0" w:rsidP="0064327E">
      <w:pPr>
        <w:pStyle w:val="Heading1"/>
        <w:numPr>
          <w:ilvl w:val="0"/>
          <w:numId w:val="18"/>
        </w:numPr>
        <w:spacing w:before="240"/>
        <w:rPr>
          <w:rFonts w:ascii="Verdana" w:eastAsiaTheme="minorHAnsi" w:hAnsi="Verdana" w:cs="Arial"/>
          <w:szCs w:val="32"/>
        </w:rPr>
      </w:pPr>
      <w:bookmarkStart w:id="0" w:name="_Toc118201646"/>
      <w:r>
        <w:rPr>
          <w:rFonts w:ascii="Verdana" w:eastAsiaTheme="minorHAnsi" w:hAnsi="Verdana" w:cs="Arial"/>
          <w:szCs w:val="32"/>
        </w:rPr>
        <w:t>Objectives</w:t>
      </w:r>
      <w:bookmarkEnd w:id="0"/>
    </w:p>
    <w:p w14:paraId="2F9A974B" w14:textId="5DD1B1C9" w:rsidR="00B81275" w:rsidRDefault="00AA73DD" w:rsidP="0064327E">
      <w:pPr>
        <w:spacing w:after="120"/>
      </w:pPr>
      <w:r>
        <w:t>The Director Schedule of Delegations (the “Schedule”) has three main objectives</w:t>
      </w:r>
      <w:r w:rsidR="00B81275">
        <w:t>:</w:t>
      </w:r>
    </w:p>
    <w:p w14:paraId="509E4D93" w14:textId="07012855" w:rsidR="00B81275" w:rsidRDefault="00B81275" w:rsidP="0064327E">
      <w:pPr>
        <w:pStyle w:val="ListParagraph"/>
        <w:numPr>
          <w:ilvl w:val="0"/>
          <w:numId w:val="19"/>
        </w:numPr>
        <w:spacing w:after="120"/>
      </w:pPr>
      <w:r>
        <w:t>It serves as the mechanism for the Board of The Junction Clubhouse to vest authority in the Director</w:t>
      </w:r>
    </w:p>
    <w:p w14:paraId="5274FCA0" w14:textId="1128409E" w:rsidR="00B81275" w:rsidRDefault="00B81275" w:rsidP="0064327E">
      <w:pPr>
        <w:pStyle w:val="ListParagraph"/>
        <w:numPr>
          <w:ilvl w:val="0"/>
          <w:numId w:val="19"/>
        </w:numPr>
        <w:spacing w:after="120"/>
      </w:pPr>
      <w:r>
        <w:t xml:space="preserve">It serves as the mechanism to sub-delegate the power and authority, vested by the Board in the Director to manage </w:t>
      </w:r>
      <w:r w:rsidR="00466FCB">
        <w:t>and supervise the management of the day-to-day operations and activities of the Clubhouse</w:t>
      </w:r>
    </w:p>
    <w:p w14:paraId="5043A991" w14:textId="1711B5C2" w:rsidR="00466FCB" w:rsidRDefault="00466FCB" w:rsidP="0064327E">
      <w:pPr>
        <w:pStyle w:val="ListParagraph"/>
        <w:numPr>
          <w:ilvl w:val="0"/>
          <w:numId w:val="19"/>
        </w:numPr>
        <w:spacing w:after="120"/>
      </w:pPr>
      <w:r>
        <w:t>It ensures that the financial transactions of the Clubhouse are executed within the scope of delegated authorities creating a framework of financial control over investments, revenues</w:t>
      </w:r>
      <w:r w:rsidR="00957DB3">
        <w:t xml:space="preserve">, </w:t>
      </w:r>
      <w:proofErr w:type="gramStart"/>
      <w:r w:rsidR="00957DB3">
        <w:t>commitments</w:t>
      </w:r>
      <w:proofErr w:type="gramEnd"/>
      <w:r w:rsidR="00957DB3">
        <w:t xml:space="preserve"> and expenditures</w:t>
      </w:r>
    </w:p>
    <w:p w14:paraId="4AAB9E6C" w14:textId="7481DE5A" w:rsidR="00392560" w:rsidRDefault="00507D92" w:rsidP="0064327E">
      <w:pPr>
        <w:pStyle w:val="Heading1"/>
        <w:spacing w:before="240"/>
        <w:rPr>
          <w:rFonts w:ascii="Verdana" w:eastAsiaTheme="minorHAnsi" w:hAnsi="Verdana" w:cs="Arial"/>
          <w:szCs w:val="32"/>
        </w:rPr>
      </w:pPr>
      <w:bookmarkStart w:id="1" w:name="_Toc118201647"/>
      <w:r>
        <w:rPr>
          <w:rFonts w:ascii="Verdana" w:eastAsiaTheme="minorHAnsi" w:hAnsi="Verdana" w:cs="Arial"/>
          <w:szCs w:val="32"/>
        </w:rPr>
        <w:t>2</w:t>
      </w:r>
      <w:r w:rsidR="00392560">
        <w:rPr>
          <w:rFonts w:ascii="Verdana" w:eastAsiaTheme="minorHAnsi" w:hAnsi="Verdana" w:cs="Arial"/>
          <w:szCs w:val="32"/>
        </w:rPr>
        <w:t>.0 Scope</w:t>
      </w:r>
      <w:bookmarkEnd w:id="1"/>
    </w:p>
    <w:p w14:paraId="353C1A82" w14:textId="21BC88B2" w:rsidR="00B81275" w:rsidRPr="00B81275" w:rsidRDefault="00B10679" w:rsidP="0064327E">
      <w:pPr>
        <w:spacing w:after="120"/>
      </w:pPr>
      <w:r>
        <w:t xml:space="preserve">The Schedule applies to all permanent, </w:t>
      </w:r>
      <w:proofErr w:type="gramStart"/>
      <w:r>
        <w:t>casual</w:t>
      </w:r>
      <w:proofErr w:type="gramEnd"/>
      <w:r>
        <w:t xml:space="preserve"> and contractual employees of The Junction Clubhouse (Delegates).</w:t>
      </w:r>
    </w:p>
    <w:p w14:paraId="34E968B5" w14:textId="3A123AB7" w:rsidR="00392560" w:rsidRDefault="00507D92" w:rsidP="0064327E">
      <w:pPr>
        <w:pStyle w:val="Heading1"/>
        <w:spacing w:before="240"/>
        <w:rPr>
          <w:rFonts w:ascii="Verdana" w:eastAsiaTheme="minorHAnsi" w:hAnsi="Verdana" w:cs="Arial"/>
          <w:szCs w:val="32"/>
        </w:rPr>
      </w:pPr>
      <w:bookmarkStart w:id="2" w:name="_Toc118201648"/>
      <w:r>
        <w:rPr>
          <w:rFonts w:ascii="Verdana" w:eastAsiaTheme="minorHAnsi" w:hAnsi="Verdana" w:cs="Arial"/>
          <w:szCs w:val="32"/>
        </w:rPr>
        <w:lastRenderedPageBreak/>
        <w:t>3</w:t>
      </w:r>
      <w:r w:rsidR="00392560">
        <w:rPr>
          <w:rFonts w:ascii="Verdana" w:eastAsiaTheme="minorHAnsi" w:hAnsi="Verdana" w:cs="Arial"/>
          <w:szCs w:val="32"/>
        </w:rPr>
        <w:t>.0 Content</w:t>
      </w:r>
      <w:bookmarkEnd w:id="2"/>
    </w:p>
    <w:p w14:paraId="7962A890" w14:textId="2832F5D6" w:rsidR="00392560" w:rsidRDefault="00392560" w:rsidP="00601539">
      <w:pPr>
        <w:pStyle w:val="Heading1"/>
        <w:rPr>
          <w:rFonts w:ascii="Verdana" w:eastAsiaTheme="minorHAnsi" w:hAnsi="Verdana" w:cs="Arial"/>
          <w:sz w:val="24"/>
          <w:szCs w:val="24"/>
        </w:rPr>
      </w:pPr>
      <w:bookmarkStart w:id="3" w:name="_Toc118201649"/>
      <w:r w:rsidRPr="00FB56D4">
        <w:rPr>
          <w:rFonts w:ascii="Verdana" w:eastAsiaTheme="minorHAnsi" w:hAnsi="Verdana" w:cs="Arial"/>
          <w:sz w:val="24"/>
          <w:szCs w:val="24"/>
        </w:rPr>
        <w:t>3.1</w:t>
      </w:r>
      <w:r w:rsidR="00FB56D4" w:rsidRPr="00FB56D4">
        <w:rPr>
          <w:rFonts w:ascii="Verdana" w:eastAsiaTheme="minorHAnsi" w:hAnsi="Verdana" w:cs="Arial"/>
          <w:sz w:val="24"/>
          <w:szCs w:val="24"/>
        </w:rPr>
        <w:t xml:space="preserve"> Background</w:t>
      </w:r>
      <w:bookmarkEnd w:id="3"/>
    </w:p>
    <w:p w14:paraId="1D2059FD" w14:textId="77777777" w:rsidR="00601539" w:rsidRDefault="00601539" w:rsidP="00601539">
      <w:pPr>
        <w:spacing w:after="120"/>
      </w:pPr>
      <w:r>
        <w:t xml:space="preserve">The </w:t>
      </w:r>
      <w:r w:rsidRPr="0067695A">
        <w:rPr>
          <w:i/>
          <w:iCs/>
        </w:rPr>
        <w:t>Corporations Act 2001</w:t>
      </w:r>
      <w:r>
        <w:t xml:space="preserve"> and </w:t>
      </w:r>
      <w:r w:rsidRPr="0067695A">
        <w:rPr>
          <w:i/>
          <w:iCs/>
        </w:rPr>
        <w:t>The Junction Clubhouse Constitution</w:t>
      </w:r>
      <w:r>
        <w:t xml:space="preserve"> require that the business of the Clubhouse is managed under the direction of the Board, and the Board may, by resolution, delegate any of their powers to the Director, a committee of the Board, or other parties and organisations.</w:t>
      </w:r>
    </w:p>
    <w:p w14:paraId="7D28F54E" w14:textId="77777777" w:rsidR="00601539" w:rsidRDefault="00601539" w:rsidP="00601539">
      <w:pPr>
        <w:spacing w:after="120"/>
      </w:pPr>
      <w:r>
        <w:t>The general approach adopted by the Board in the delegation of its power and authority is that:</w:t>
      </w:r>
    </w:p>
    <w:p w14:paraId="2757AC98" w14:textId="77777777" w:rsidR="00601539" w:rsidRDefault="00601539" w:rsidP="00601539">
      <w:pPr>
        <w:pStyle w:val="ListParagraph"/>
        <w:numPr>
          <w:ilvl w:val="0"/>
          <w:numId w:val="20"/>
        </w:numPr>
        <w:spacing w:after="120"/>
      </w:pPr>
      <w:r>
        <w:t>Decisions related to specific matters are reserved for the Board</w:t>
      </w:r>
    </w:p>
    <w:p w14:paraId="6985156A" w14:textId="77777777" w:rsidR="00601539" w:rsidRDefault="00601539" w:rsidP="00601539">
      <w:pPr>
        <w:pStyle w:val="ListParagraph"/>
        <w:numPr>
          <w:ilvl w:val="0"/>
          <w:numId w:val="20"/>
        </w:numPr>
        <w:spacing w:after="120"/>
      </w:pPr>
      <w:r>
        <w:t>Certain powers and limits of authority are delegated to specified positions</w:t>
      </w:r>
    </w:p>
    <w:p w14:paraId="31936750" w14:textId="5BA5E3F8" w:rsidR="00601539" w:rsidRDefault="00601539" w:rsidP="00601539">
      <w:pPr>
        <w:pStyle w:val="ListParagraph"/>
        <w:numPr>
          <w:ilvl w:val="0"/>
          <w:numId w:val="20"/>
        </w:numPr>
        <w:spacing w:after="120"/>
      </w:pPr>
      <w:r>
        <w:t>Subject to the above,</w:t>
      </w:r>
      <w:r w:rsidR="00680525">
        <w:t xml:space="preserve"> it delegates its power and authority to manage and supervise the management of the day-to-day operations and activities of the Clubhouse to the Director</w:t>
      </w:r>
    </w:p>
    <w:p w14:paraId="062776BE" w14:textId="352DAD4A" w:rsidR="002B51E4" w:rsidRDefault="002B51E4" w:rsidP="002B51E4">
      <w:pPr>
        <w:spacing w:after="120"/>
      </w:pPr>
      <w:r>
        <w:t>In recognition that the Director cannot perform or closely supervise all the activities and functions involved in the conduct of the Clubhouse, the Board has authorised the Director to sub-delegate his/per power and authority as documented in this Schedule.</w:t>
      </w:r>
    </w:p>
    <w:p w14:paraId="1B011041" w14:textId="439D4CCF" w:rsidR="00FB56D4" w:rsidRDefault="00FB56D4" w:rsidP="001D2D29">
      <w:pPr>
        <w:pStyle w:val="Heading1"/>
        <w:rPr>
          <w:rFonts w:ascii="Verdana" w:eastAsiaTheme="minorHAnsi" w:hAnsi="Verdana" w:cs="Arial"/>
          <w:sz w:val="24"/>
          <w:szCs w:val="24"/>
        </w:rPr>
      </w:pPr>
      <w:bookmarkStart w:id="4" w:name="_Toc118201650"/>
      <w:r w:rsidRPr="00FB56D4">
        <w:rPr>
          <w:rFonts w:ascii="Verdana" w:eastAsiaTheme="minorHAnsi" w:hAnsi="Verdana" w:cs="Arial"/>
          <w:sz w:val="24"/>
          <w:szCs w:val="24"/>
        </w:rPr>
        <w:t>3.2 Principles of Director Delegation</w:t>
      </w:r>
      <w:bookmarkEnd w:id="4"/>
    </w:p>
    <w:p w14:paraId="049869F5" w14:textId="37284DCB" w:rsidR="001D2D29" w:rsidRDefault="001D2D29" w:rsidP="000F61C4">
      <w:pPr>
        <w:spacing w:after="120"/>
      </w:pPr>
      <w:r>
        <w:t>The following principles apply to the exercise of the Director’s delegated authority:</w:t>
      </w:r>
    </w:p>
    <w:p w14:paraId="203D2B2E" w14:textId="7F15EB6B" w:rsidR="001D2D29" w:rsidRDefault="001D2D29" w:rsidP="001D2D29">
      <w:pPr>
        <w:pStyle w:val="ListParagraph"/>
        <w:numPr>
          <w:ilvl w:val="0"/>
          <w:numId w:val="21"/>
        </w:numPr>
      </w:pPr>
      <w:r>
        <w:t xml:space="preserve">Any action undertaken </w:t>
      </w:r>
      <w:proofErr w:type="gramStart"/>
      <w:r>
        <w:t>as a result of</w:t>
      </w:r>
      <w:proofErr w:type="gramEnd"/>
      <w:r>
        <w:t xml:space="preserve"> a delegated authority allowed by this Schedule must be undertaken within the limits of the delegation</w:t>
      </w:r>
    </w:p>
    <w:p w14:paraId="06F5695A" w14:textId="12F1A169" w:rsidR="001D2D29" w:rsidRDefault="001D2D29" w:rsidP="001D2D29">
      <w:pPr>
        <w:pStyle w:val="ListParagraph"/>
        <w:numPr>
          <w:ilvl w:val="0"/>
          <w:numId w:val="21"/>
        </w:numPr>
      </w:pPr>
      <w:r>
        <w:t>Unless a specific delegation exists, no person has any individual authority to commit the Clubhouse to obligations including making representations and agreements with suppliers, customers, employees or other parties or organisations. Any ambiguity should be treated conservatively.</w:t>
      </w:r>
    </w:p>
    <w:p w14:paraId="5AC9FB74" w14:textId="6FF2EAAF" w:rsidR="001D2D29" w:rsidRDefault="001D2D29" w:rsidP="001D2D29">
      <w:pPr>
        <w:pStyle w:val="ListParagraph"/>
        <w:numPr>
          <w:ilvl w:val="0"/>
          <w:numId w:val="21"/>
        </w:numPr>
      </w:pPr>
      <w:r>
        <w:t>In exercising a delegated authority, a Delegate:</w:t>
      </w:r>
    </w:p>
    <w:p w14:paraId="5522393A" w14:textId="13076DF8" w:rsidR="001D2D29" w:rsidRDefault="001D2D29" w:rsidP="001D2D29">
      <w:pPr>
        <w:pStyle w:val="ListParagraph"/>
        <w:numPr>
          <w:ilvl w:val="1"/>
          <w:numId w:val="21"/>
        </w:numPr>
      </w:pPr>
      <w:r>
        <w:t>Is only authorised to commit and spend in areas for which they have day-to-day responsibility (</w:t>
      </w:r>
      <w:r w:rsidR="001B6047">
        <w:t>i.e.,</w:t>
      </w:r>
      <w:r>
        <w:t xml:space="preserve"> within the Delegate’s specific accountabilities as required in his or her position description)</w:t>
      </w:r>
    </w:p>
    <w:p w14:paraId="37E3AE22" w14:textId="74431743" w:rsidR="001D2D29" w:rsidRDefault="00D7389A" w:rsidP="001D2D29">
      <w:pPr>
        <w:pStyle w:val="ListParagraph"/>
        <w:numPr>
          <w:ilvl w:val="1"/>
          <w:numId w:val="21"/>
        </w:numPr>
      </w:pPr>
      <w:r>
        <w:t>Has authority for only those commitments that are within the Board-approved budget for the relevant business division</w:t>
      </w:r>
    </w:p>
    <w:p w14:paraId="4CE04F37" w14:textId="51DB2C1D" w:rsidR="00D7389A" w:rsidRDefault="00D7389A" w:rsidP="001D2D29">
      <w:pPr>
        <w:pStyle w:val="ListParagraph"/>
        <w:numPr>
          <w:ilvl w:val="1"/>
          <w:numId w:val="21"/>
        </w:numPr>
      </w:pPr>
      <w:r>
        <w:t>Can only commit/spent against budgets for which they are the cost centre/program manager or have been permitted to commit/spend against</w:t>
      </w:r>
    </w:p>
    <w:p w14:paraId="60384035" w14:textId="18249C37" w:rsidR="00D7389A" w:rsidRDefault="00412E14" w:rsidP="001D2D29">
      <w:pPr>
        <w:pStyle w:val="ListParagraph"/>
        <w:numPr>
          <w:ilvl w:val="1"/>
          <w:numId w:val="21"/>
        </w:numPr>
      </w:pPr>
      <w:r>
        <w:t>Must ensure that the expenditure is for a proper purpose</w:t>
      </w:r>
    </w:p>
    <w:p w14:paraId="4F89A15A" w14:textId="50167D72" w:rsidR="00412E14" w:rsidRDefault="00412E14" w:rsidP="00412E14">
      <w:pPr>
        <w:pStyle w:val="ListParagraph"/>
        <w:numPr>
          <w:ilvl w:val="0"/>
          <w:numId w:val="21"/>
        </w:numPr>
      </w:pPr>
      <w:r>
        <w:t>A delegate</w:t>
      </w:r>
      <w:r w:rsidR="00C571BF">
        <w:t xml:space="preserve"> may commit The Junction Clubhouse up to their financial threshold limit of authority by executing a contract, undertaking action necessary to </w:t>
      </w:r>
      <w:proofErr w:type="gramStart"/>
      <w:r w:rsidR="001B6047">
        <w:t>effect</w:t>
      </w:r>
      <w:proofErr w:type="gramEnd"/>
      <w:r w:rsidR="00C571BF">
        <w:t xml:space="preserve"> a transaction or expenditure, or </w:t>
      </w:r>
      <w:r w:rsidR="001B6047">
        <w:t>entering</w:t>
      </w:r>
      <w:r w:rsidR="00C571BF">
        <w:t xml:space="preserve"> a commitment, liability or financial exposure. In exercising a </w:t>
      </w:r>
      <w:r w:rsidR="004E3EFC">
        <w:t>delegated authority to execute a contract, agreement, or otherwise commit the Clubhouse to legal obligations, Delegates are to ensure that entry into the Legal Document has been approved with appropriate authority.</w:t>
      </w:r>
    </w:p>
    <w:p w14:paraId="098CAF6A" w14:textId="017977B3" w:rsidR="004E3EFC" w:rsidRDefault="004E3EFC" w:rsidP="00412E14">
      <w:pPr>
        <w:pStyle w:val="ListParagraph"/>
        <w:numPr>
          <w:ilvl w:val="0"/>
          <w:numId w:val="21"/>
        </w:numPr>
      </w:pPr>
      <w:r>
        <w:t>The authority to approve a transaction is taken to include the authority to terminate or cancel a transaction</w:t>
      </w:r>
    </w:p>
    <w:p w14:paraId="2BF1C267" w14:textId="7CDC971E" w:rsidR="004E3EFC" w:rsidRDefault="004E3EFC" w:rsidP="00412E14">
      <w:pPr>
        <w:pStyle w:val="ListParagraph"/>
        <w:numPr>
          <w:ilvl w:val="0"/>
          <w:numId w:val="21"/>
        </w:numPr>
      </w:pPr>
      <w:r>
        <w:t>Unless otherwise specified, powers and authorities are delegated to a position and not a person</w:t>
      </w:r>
    </w:p>
    <w:p w14:paraId="359E47F8" w14:textId="6D433A65" w:rsidR="00DF6EB3" w:rsidRDefault="00DF6EB3" w:rsidP="00412E14">
      <w:pPr>
        <w:pStyle w:val="ListParagraph"/>
        <w:numPr>
          <w:ilvl w:val="0"/>
          <w:numId w:val="21"/>
        </w:numPr>
      </w:pPr>
      <w:r>
        <w:t>Unless otherwise specified, a power and authority delegated to a position extends to any person acting in that position</w:t>
      </w:r>
    </w:p>
    <w:p w14:paraId="47243558" w14:textId="2069102D" w:rsidR="00DF6EB3" w:rsidRPr="001D2D29" w:rsidRDefault="00E47997" w:rsidP="00412E14">
      <w:pPr>
        <w:pStyle w:val="ListParagraph"/>
        <w:numPr>
          <w:ilvl w:val="0"/>
          <w:numId w:val="21"/>
        </w:numPr>
      </w:pPr>
      <w:r>
        <w:lastRenderedPageBreak/>
        <w:t>A manager automatically holds the authorities of his or her subordinates, except in the case where this would lead to a lack of segregation of duties</w:t>
      </w:r>
      <w:r w:rsidR="000F61C4">
        <w:t>. If no arrangements have been made for a temporary delegation (acting position) then all authorities automatically revert to a higher authority level.</w:t>
      </w:r>
    </w:p>
    <w:p w14:paraId="02451540" w14:textId="799E4B09" w:rsidR="00FB56D4" w:rsidRDefault="00FB56D4" w:rsidP="000F61C4">
      <w:pPr>
        <w:pStyle w:val="Heading1"/>
        <w:spacing w:before="240"/>
        <w:rPr>
          <w:rFonts w:ascii="Verdana" w:eastAsiaTheme="minorHAnsi" w:hAnsi="Verdana" w:cs="Arial"/>
          <w:sz w:val="24"/>
          <w:szCs w:val="24"/>
        </w:rPr>
      </w:pPr>
      <w:bookmarkStart w:id="5" w:name="_Toc118201651"/>
      <w:r w:rsidRPr="00FB56D4">
        <w:rPr>
          <w:rFonts w:ascii="Verdana" w:eastAsiaTheme="minorHAnsi" w:hAnsi="Verdana" w:cs="Arial"/>
          <w:sz w:val="24"/>
          <w:szCs w:val="24"/>
        </w:rPr>
        <w:t>3.3 Authority Categories and Commitment Thresholds</w:t>
      </w:r>
      <w:bookmarkEnd w:id="5"/>
    </w:p>
    <w:p w14:paraId="41046FF8" w14:textId="2A8BC612" w:rsidR="00EB04A4" w:rsidRDefault="000F61C4" w:rsidP="00711165">
      <w:pPr>
        <w:spacing w:after="120"/>
      </w:pPr>
      <w:r>
        <w:t>Delegation of financial authority categories</w:t>
      </w:r>
      <w:r w:rsidR="006D00C8">
        <w:t xml:space="preserve"> and commitment thresholds</w:t>
      </w:r>
      <w:r w:rsidR="00AE54E0">
        <w:t xml:space="preserve"> are detailed in </w:t>
      </w:r>
      <w:r w:rsidR="00AE54E0" w:rsidRPr="00DB1C40">
        <w:rPr>
          <w:b/>
          <w:bCs/>
        </w:rPr>
        <w:t xml:space="preserve">Appendix </w:t>
      </w:r>
      <w:r w:rsidR="00EB04A4" w:rsidRPr="00DB1C40">
        <w:rPr>
          <w:b/>
          <w:bCs/>
        </w:rPr>
        <w:t>1</w:t>
      </w:r>
      <w:r w:rsidR="00EB04A4">
        <w:t>. These delegations:</w:t>
      </w:r>
    </w:p>
    <w:p w14:paraId="10FCF258" w14:textId="40C7731E" w:rsidR="00EB04A4" w:rsidRDefault="00EB04A4" w:rsidP="00711165">
      <w:pPr>
        <w:pStyle w:val="ListParagraph"/>
        <w:numPr>
          <w:ilvl w:val="0"/>
          <w:numId w:val="21"/>
        </w:numPr>
        <w:spacing w:after="120"/>
      </w:pPr>
      <w:r>
        <w:t xml:space="preserve">Are based on the level assigned to </w:t>
      </w:r>
      <w:r w:rsidR="002360B3">
        <w:t>a position description (or a position title)</w:t>
      </w:r>
    </w:p>
    <w:p w14:paraId="3E982668" w14:textId="12BE5449" w:rsidR="002360B3" w:rsidRDefault="002360B3" w:rsidP="00711165">
      <w:pPr>
        <w:pStyle w:val="ListParagraph"/>
        <w:numPr>
          <w:ilvl w:val="0"/>
          <w:numId w:val="21"/>
        </w:numPr>
        <w:spacing w:after="120"/>
      </w:pPr>
      <w:r>
        <w:t>Provide authority to commit the Clubhouse to obligations up to a specified financial limit (or commitment threshold)</w:t>
      </w:r>
    </w:p>
    <w:p w14:paraId="2AB427EC" w14:textId="5F936C0F" w:rsidR="00C6598F" w:rsidRDefault="00C6598F" w:rsidP="00711165">
      <w:pPr>
        <w:spacing w:after="120"/>
      </w:pPr>
      <w:r>
        <w:t xml:space="preserve">The dollar value amounts (commitment thresholds) shown in </w:t>
      </w:r>
      <w:r w:rsidRPr="00DB1C40">
        <w:rPr>
          <w:b/>
          <w:bCs/>
        </w:rPr>
        <w:t>Appendix 1</w:t>
      </w:r>
      <w:r>
        <w:t>:</w:t>
      </w:r>
    </w:p>
    <w:p w14:paraId="57675E82" w14:textId="77777777" w:rsidR="00C6598F" w:rsidRDefault="00C6598F" w:rsidP="00711165">
      <w:pPr>
        <w:pStyle w:val="ListParagraph"/>
        <w:numPr>
          <w:ilvl w:val="0"/>
          <w:numId w:val="21"/>
        </w:numPr>
        <w:spacing w:after="120"/>
      </w:pPr>
      <w:r>
        <w:t>Are GST-exclusive</w:t>
      </w:r>
    </w:p>
    <w:p w14:paraId="2CC45F92" w14:textId="77777777" w:rsidR="00C6598F" w:rsidRDefault="00C6598F" w:rsidP="00711165">
      <w:pPr>
        <w:pStyle w:val="ListParagraph"/>
        <w:numPr>
          <w:ilvl w:val="0"/>
          <w:numId w:val="21"/>
        </w:numPr>
        <w:spacing w:after="120"/>
      </w:pPr>
      <w:r>
        <w:t xml:space="preserve">Refer to related expenditures, </w:t>
      </w:r>
      <w:proofErr w:type="gramStart"/>
      <w:r>
        <w:t>transactions</w:t>
      </w:r>
      <w:proofErr w:type="gramEnd"/>
      <w:r>
        <w:t xml:space="preserve"> or commitments, whether these occur in one or a related series of transactions or payments</w:t>
      </w:r>
    </w:p>
    <w:p w14:paraId="74AF8F66" w14:textId="77777777" w:rsidR="00C6598F" w:rsidRDefault="00C6598F" w:rsidP="00711165">
      <w:pPr>
        <w:pStyle w:val="ListParagraph"/>
        <w:numPr>
          <w:ilvl w:val="0"/>
          <w:numId w:val="21"/>
        </w:numPr>
        <w:spacing w:after="120"/>
      </w:pPr>
      <w:r>
        <w:t xml:space="preserve">Refer to the likely maximum expenditure, </w:t>
      </w:r>
      <w:proofErr w:type="gramStart"/>
      <w:r>
        <w:t>commitment</w:t>
      </w:r>
      <w:proofErr w:type="gramEnd"/>
      <w:r>
        <w:t xml:space="preserve"> or potential risk of liability of financial exposure of the Clubhouse over a single financial year</w:t>
      </w:r>
    </w:p>
    <w:p w14:paraId="48B19D6B" w14:textId="0E7DAA56" w:rsidR="000F61C4" w:rsidRPr="000F61C4" w:rsidRDefault="00C6598F" w:rsidP="00711165">
      <w:pPr>
        <w:spacing w:after="120"/>
      </w:pPr>
      <w:r>
        <w:t>The commitment thresholds exclude ‘Standing Offer’ or ‘Panel Provider’ arrangements which confirm pricing and do not commit the Clubhouse to specific quantities or minimum purchasing arrangements.</w:t>
      </w:r>
    </w:p>
    <w:p w14:paraId="044DDE89" w14:textId="7766854B" w:rsidR="00FB56D4" w:rsidRDefault="00FB56D4" w:rsidP="00711165">
      <w:pPr>
        <w:pStyle w:val="Heading1"/>
        <w:spacing w:before="240"/>
        <w:rPr>
          <w:rFonts w:ascii="Verdana" w:eastAsiaTheme="minorHAnsi" w:hAnsi="Verdana" w:cs="Arial"/>
          <w:sz w:val="24"/>
          <w:szCs w:val="24"/>
        </w:rPr>
      </w:pPr>
      <w:bookmarkStart w:id="6" w:name="_Toc118201652"/>
      <w:r w:rsidRPr="00FB56D4">
        <w:rPr>
          <w:rFonts w:ascii="Verdana" w:eastAsiaTheme="minorHAnsi" w:hAnsi="Verdana" w:cs="Arial"/>
          <w:sz w:val="24"/>
          <w:szCs w:val="24"/>
        </w:rPr>
        <w:t>3.</w:t>
      </w:r>
      <w:r>
        <w:rPr>
          <w:rFonts w:ascii="Verdana" w:eastAsiaTheme="minorHAnsi" w:hAnsi="Verdana" w:cs="Arial"/>
          <w:sz w:val="24"/>
          <w:szCs w:val="24"/>
        </w:rPr>
        <w:t>4</w:t>
      </w:r>
      <w:r w:rsidRPr="00FB56D4">
        <w:rPr>
          <w:rFonts w:ascii="Verdana" w:eastAsiaTheme="minorHAnsi" w:hAnsi="Verdana" w:cs="Arial"/>
          <w:sz w:val="24"/>
          <w:szCs w:val="24"/>
        </w:rPr>
        <w:t xml:space="preserve"> </w:t>
      </w:r>
      <w:r>
        <w:rPr>
          <w:rFonts w:ascii="Verdana" w:eastAsiaTheme="minorHAnsi" w:hAnsi="Verdana" w:cs="Arial"/>
          <w:sz w:val="24"/>
          <w:szCs w:val="24"/>
        </w:rPr>
        <w:t>Guidelines for the Application of Delegated Authority</w:t>
      </w:r>
      <w:bookmarkEnd w:id="6"/>
    </w:p>
    <w:p w14:paraId="3287D31E" w14:textId="4AEDC100" w:rsidR="00FB56D4" w:rsidRDefault="00FB56D4" w:rsidP="001B6047">
      <w:pPr>
        <w:pStyle w:val="Heading1"/>
        <w:rPr>
          <w:rFonts w:ascii="Verdana" w:eastAsiaTheme="minorHAnsi" w:hAnsi="Verdana" w:cs="Arial"/>
          <w:sz w:val="24"/>
          <w:szCs w:val="24"/>
        </w:rPr>
      </w:pPr>
      <w:bookmarkStart w:id="7" w:name="_Toc118201653"/>
      <w:r w:rsidRPr="00FB56D4">
        <w:rPr>
          <w:rFonts w:ascii="Verdana" w:eastAsiaTheme="minorHAnsi" w:hAnsi="Verdana" w:cs="Arial"/>
          <w:sz w:val="24"/>
          <w:szCs w:val="24"/>
        </w:rPr>
        <w:t>3.</w:t>
      </w:r>
      <w:r>
        <w:rPr>
          <w:rFonts w:ascii="Verdana" w:eastAsiaTheme="minorHAnsi" w:hAnsi="Verdana" w:cs="Arial"/>
          <w:sz w:val="24"/>
          <w:szCs w:val="24"/>
        </w:rPr>
        <w:t>4</w:t>
      </w:r>
      <w:r w:rsidR="005C1BD7">
        <w:rPr>
          <w:rFonts w:ascii="Verdana" w:eastAsiaTheme="minorHAnsi" w:hAnsi="Verdana" w:cs="Arial"/>
          <w:sz w:val="24"/>
          <w:szCs w:val="24"/>
        </w:rPr>
        <w:t>.1 Operational Expenditure and Commitments</w:t>
      </w:r>
      <w:bookmarkEnd w:id="7"/>
    </w:p>
    <w:p w14:paraId="1E1205AD" w14:textId="178F1019" w:rsidR="001B6047" w:rsidRDefault="00705DFC" w:rsidP="00705DFC">
      <w:pPr>
        <w:pStyle w:val="ListParagraph"/>
        <w:numPr>
          <w:ilvl w:val="0"/>
          <w:numId w:val="22"/>
        </w:numPr>
      </w:pPr>
      <w:r>
        <w:t>Program/Cost Centre Managers can transfer operating expenditure budgets within their own Program or C</w:t>
      </w:r>
      <w:r w:rsidR="007B5D0C">
        <w:t>ost Centre. In the case of funded programs, the program funding agreement is not to be compromised</w:t>
      </w:r>
    </w:p>
    <w:p w14:paraId="0653910C" w14:textId="6D16DA72" w:rsidR="007B5D0C" w:rsidRDefault="007B5D0C" w:rsidP="00705DFC">
      <w:pPr>
        <w:pStyle w:val="ListParagraph"/>
        <w:numPr>
          <w:ilvl w:val="0"/>
          <w:numId w:val="22"/>
        </w:numPr>
      </w:pPr>
      <w:r>
        <w:t>Transfers between Cost Centres can occur with the approval of the Director</w:t>
      </w:r>
    </w:p>
    <w:p w14:paraId="20C7442C" w14:textId="6434640B" w:rsidR="007B5D0C" w:rsidRDefault="007B5D0C" w:rsidP="00705DFC">
      <w:pPr>
        <w:pStyle w:val="ListParagraph"/>
        <w:numPr>
          <w:ilvl w:val="0"/>
          <w:numId w:val="22"/>
        </w:numPr>
      </w:pPr>
      <w:r>
        <w:t xml:space="preserve">Transfers </w:t>
      </w:r>
      <w:r w:rsidR="009E5E98">
        <w:t>between Programs can occur with the approval of the Director</w:t>
      </w:r>
    </w:p>
    <w:p w14:paraId="48EED389" w14:textId="158BE7F6" w:rsidR="009E5E98" w:rsidRPr="001B6047" w:rsidRDefault="009E5E98" w:rsidP="00705DFC">
      <w:pPr>
        <w:pStyle w:val="ListParagraph"/>
        <w:numPr>
          <w:ilvl w:val="0"/>
          <w:numId w:val="22"/>
        </w:numPr>
      </w:pPr>
      <w:r>
        <w:t xml:space="preserve">If the Operational Expenditure cannot be accommodated within the ‘whole of organisation’ operating expenditure budget, it </w:t>
      </w:r>
      <w:r w:rsidR="00711165">
        <w:t>is</w:t>
      </w:r>
      <w:r>
        <w:t xml:space="preserve"> </w:t>
      </w:r>
      <w:r w:rsidRPr="00711165">
        <w:rPr>
          <w:b/>
          <w:bCs/>
        </w:rPr>
        <w:t>out of budget</w:t>
      </w:r>
      <w:r>
        <w:t xml:space="preserve"> and will require Board approval if </w:t>
      </w:r>
      <w:r w:rsidR="00351F0A">
        <w:t>more than</w:t>
      </w:r>
      <w:r>
        <w:t xml:space="preserve"> </w:t>
      </w:r>
      <w:r w:rsidR="00711165">
        <w:t>$10,000.00</w:t>
      </w:r>
    </w:p>
    <w:p w14:paraId="4D1DB9ED" w14:textId="76BB3528" w:rsidR="005C1BD7" w:rsidRDefault="005C1BD7" w:rsidP="00711165">
      <w:pPr>
        <w:pStyle w:val="Heading1"/>
        <w:spacing w:before="240"/>
        <w:rPr>
          <w:rFonts w:ascii="Verdana" w:eastAsiaTheme="minorHAnsi" w:hAnsi="Verdana" w:cs="Arial"/>
          <w:sz w:val="24"/>
          <w:szCs w:val="24"/>
        </w:rPr>
      </w:pPr>
      <w:bookmarkStart w:id="8" w:name="_Toc118201654"/>
      <w:r w:rsidRPr="00FB56D4">
        <w:rPr>
          <w:rFonts w:ascii="Verdana" w:eastAsiaTheme="minorHAnsi" w:hAnsi="Verdana" w:cs="Arial"/>
          <w:sz w:val="24"/>
          <w:szCs w:val="24"/>
        </w:rPr>
        <w:t>3.</w:t>
      </w:r>
      <w:r>
        <w:rPr>
          <w:rFonts w:ascii="Verdana" w:eastAsiaTheme="minorHAnsi" w:hAnsi="Verdana" w:cs="Arial"/>
          <w:sz w:val="24"/>
          <w:szCs w:val="24"/>
        </w:rPr>
        <w:t xml:space="preserve">4.2 </w:t>
      </w:r>
      <w:r w:rsidR="00A74BF9">
        <w:rPr>
          <w:rFonts w:ascii="Verdana" w:eastAsiaTheme="minorHAnsi" w:hAnsi="Verdana" w:cs="Arial"/>
          <w:sz w:val="24"/>
          <w:szCs w:val="24"/>
        </w:rPr>
        <w:t>Investments</w:t>
      </w:r>
      <w:bookmarkEnd w:id="8"/>
    </w:p>
    <w:p w14:paraId="38DCB542" w14:textId="1A6B123D" w:rsidR="00711165" w:rsidRPr="00507ECA" w:rsidRDefault="00711165" w:rsidP="00711165">
      <w:pPr>
        <w:spacing w:after="120"/>
        <w:rPr>
          <w:u w:val="single"/>
        </w:rPr>
      </w:pPr>
      <w:r w:rsidRPr="00507ECA">
        <w:rPr>
          <w:u w:val="single"/>
        </w:rPr>
        <w:t>Asset divestment or purchase</w:t>
      </w:r>
    </w:p>
    <w:p w14:paraId="18A7750C" w14:textId="02FF3AD3" w:rsidR="00711165" w:rsidRDefault="00711165" w:rsidP="00711165">
      <w:pPr>
        <w:spacing w:after="120"/>
      </w:pPr>
      <w:r>
        <w:t>In addition to</w:t>
      </w:r>
      <w:r w:rsidR="00507ECA">
        <w:t xml:space="preserve"> the delegations detailed in </w:t>
      </w:r>
      <w:r w:rsidR="00507ECA" w:rsidRPr="00501D92">
        <w:rPr>
          <w:b/>
          <w:bCs/>
        </w:rPr>
        <w:t>Appendix 1</w:t>
      </w:r>
      <w:r w:rsidR="00507ECA">
        <w:t>, the Director may grant specific standing or ad-hoc delegations and financial limits of authority</w:t>
      </w:r>
      <w:r w:rsidR="00F01A47">
        <w:t xml:space="preserve"> to specified positions. These delegations must be formally documented and approved by the Director, and within the Director’s level of delegated authority.</w:t>
      </w:r>
    </w:p>
    <w:p w14:paraId="14805572" w14:textId="7DC8ECFE" w:rsidR="00F01A47" w:rsidRPr="00294BE7" w:rsidRDefault="00294BE7" w:rsidP="00711165">
      <w:pPr>
        <w:spacing w:after="120"/>
        <w:rPr>
          <w:u w:val="single"/>
        </w:rPr>
      </w:pPr>
      <w:r w:rsidRPr="00294BE7">
        <w:rPr>
          <w:u w:val="single"/>
        </w:rPr>
        <w:t>Revenue Contracts</w:t>
      </w:r>
    </w:p>
    <w:p w14:paraId="79BDA836" w14:textId="77777777" w:rsidR="00294BE7" w:rsidRDefault="00294BE7" w:rsidP="00294BE7">
      <w:pPr>
        <w:spacing w:after="120"/>
      </w:pPr>
      <w:r>
        <w:t xml:space="preserve">In addition to the delegations detailed in </w:t>
      </w:r>
      <w:r w:rsidRPr="00501D92">
        <w:rPr>
          <w:b/>
          <w:bCs/>
        </w:rPr>
        <w:t>Appendix 1</w:t>
      </w:r>
      <w:r>
        <w:t>, the Director may grant specific standing or ad-hoc delegations and financial limits of authority to specified positions. These delegations must be formally documented and approved by the Director, and within the Director’s level of delegated authority.</w:t>
      </w:r>
    </w:p>
    <w:p w14:paraId="08729497" w14:textId="7BEB15C7" w:rsidR="005C1BD7" w:rsidRDefault="005C1BD7" w:rsidP="00294BE7">
      <w:pPr>
        <w:pStyle w:val="Heading1"/>
        <w:rPr>
          <w:rFonts w:ascii="Verdana" w:eastAsiaTheme="minorHAnsi" w:hAnsi="Verdana" w:cs="Arial"/>
          <w:sz w:val="24"/>
          <w:szCs w:val="24"/>
        </w:rPr>
      </w:pPr>
      <w:bookmarkStart w:id="9" w:name="_Toc118201655"/>
      <w:r w:rsidRPr="00FB56D4">
        <w:rPr>
          <w:rFonts w:ascii="Verdana" w:eastAsiaTheme="minorHAnsi" w:hAnsi="Verdana" w:cs="Arial"/>
          <w:sz w:val="24"/>
          <w:szCs w:val="24"/>
        </w:rPr>
        <w:t>3.</w:t>
      </w:r>
      <w:r>
        <w:rPr>
          <w:rFonts w:ascii="Verdana" w:eastAsiaTheme="minorHAnsi" w:hAnsi="Verdana" w:cs="Arial"/>
          <w:sz w:val="24"/>
          <w:szCs w:val="24"/>
        </w:rPr>
        <w:t>4.</w:t>
      </w:r>
      <w:r w:rsidR="00000EC9">
        <w:rPr>
          <w:rFonts w:ascii="Verdana" w:eastAsiaTheme="minorHAnsi" w:hAnsi="Verdana" w:cs="Arial"/>
          <w:sz w:val="24"/>
          <w:szCs w:val="24"/>
        </w:rPr>
        <w:t>3</w:t>
      </w:r>
      <w:r>
        <w:rPr>
          <w:rFonts w:ascii="Verdana" w:eastAsiaTheme="minorHAnsi" w:hAnsi="Verdana" w:cs="Arial"/>
          <w:sz w:val="24"/>
          <w:szCs w:val="24"/>
        </w:rPr>
        <w:t xml:space="preserve"> </w:t>
      </w:r>
      <w:r w:rsidR="00A74BF9">
        <w:rPr>
          <w:rFonts w:ascii="Verdana" w:eastAsiaTheme="minorHAnsi" w:hAnsi="Verdana" w:cs="Arial"/>
          <w:sz w:val="24"/>
          <w:szCs w:val="24"/>
        </w:rPr>
        <w:t>Delegation by Director of ad-hoc Power and Authority</w:t>
      </w:r>
      <w:bookmarkEnd w:id="9"/>
    </w:p>
    <w:p w14:paraId="6C6B029F" w14:textId="43BCA828" w:rsidR="006E7B43" w:rsidRDefault="006E7B43" w:rsidP="006E7B43">
      <w:pPr>
        <w:spacing w:after="120"/>
      </w:pPr>
      <w:r>
        <w:t xml:space="preserve">In addition to the delegations of the Director’s power and financial authority commitment thresholds as detailed in this Schedule, the Director may </w:t>
      </w:r>
      <w:r w:rsidR="0082167E">
        <w:t xml:space="preserve">delegate the exercise of his or her power and authority on an individual basis for a particular purpose. The limits and/or restrictions of the delegations in this Schedule may be superseded by more specific or individual delegations. These delegations must be formally documented and </w:t>
      </w:r>
      <w:r>
        <w:t>approved by the Director, and within the Director’s level of delegated authority.</w:t>
      </w:r>
    </w:p>
    <w:p w14:paraId="2EBB1004" w14:textId="519C8ACB" w:rsidR="005C1BD7" w:rsidRDefault="005C1BD7" w:rsidP="00351F0A">
      <w:pPr>
        <w:pStyle w:val="Heading1"/>
        <w:spacing w:before="240"/>
        <w:rPr>
          <w:rFonts w:ascii="Verdana" w:eastAsiaTheme="minorHAnsi" w:hAnsi="Verdana" w:cs="Arial"/>
          <w:sz w:val="24"/>
          <w:szCs w:val="24"/>
        </w:rPr>
      </w:pPr>
      <w:bookmarkStart w:id="10" w:name="_Toc118201656"/>
      <w:r w:rsidRPr="00FB56D4">
        <w:rPr>
          <w:rFonts w:ascii="Verdana" w:eastAsiaTheme="minorHAnsi" w:hAnsi="Verdana" w:cs="Arial"/>
          <w:sz w:val="24"/>
          <w:szCs w:val="24"/>
        </w:rPr>
        <w:t>3.</w:t>
      </w:r>
      <w:r>
        <w:rPr>
          <w:rFonts w:ascii="Verdana" w:eastAsiaTheme="minorHAnsi" w:hAnsi="Verdana" w:cs="Arial"/>
          <w:sz w:val="24"/>
          <w:szCs w:val="24"/>
        </w:rPr>
        <w:t>4.</w:t>
      </w:r>
      <w:r w:rsidR="00000EC9">
        <w:rPr>
          <w:rFonts w:ascii="Verdana" w:eastAsiaTheme="minorHAnsi" w:hAnsi="Verdana" w:cs="Arial"/>
          <w:sz w:val="24"/>
          <w:szCs w:val="24"/>
        </w:rPr>
        <w:t>4</w:t>
      </w:r>
      <w:r>
        <w:rPr>
          <w:rFonts w:ascii="Verdana" w:eastAsiaTheme="minorHAnsi" w:hAnsi="Verdana" w:cs="Arial"/>
          <w:sz w:val="24"/>
          <w:szCs w:val="24"/>
        </w:rPr>
        <w:t xml:space="preserve"> E</w:t>
      </w:r>
      <w:r w:rsidR="00000EC9">
        <w:rPr>
          <w:rFonts w:ascii="Verdana" w:eastAsiaTheme="minorHAnsi" w:hAnsi="Verdana" w:cs="Arial"/>
          <w:sz w:val="24"/>
          <w:szCs w:val="24"/>
        </w:rPr>
        <w:t>m</w:t>
      </w:r>
      <w:r>
        <w:rPr>
          <w:rFonts w:ascii="Verdana" w:eastAsiaTheme="minorHAnsi" w:hAnsi="Verdana" w:cs="Arial"/>
          <w:sz w:val="24"/>
          <w:szCs w:val="24"/>
        </w:rPr>
        <w:t>e</w:t>
      </w:r>
      <w:r w:rsidR="00000EC9">
        <w:rPr>
          <w:rFonts w:ascii="Verdana" w:eastAsiaTheme="minorHAnsi" w:hAnsi="Verdana" w:cs="Arial"/>
          <w:sz w:val="24"/>
          <w:szCs w:val="24"/>
        </w:rPr>
        <w:t>rge</w:t>
      </w:r>
      <w:r>
        <w:rPr>
          <w:rFonts w:ascii="Verdana" w:eastAsiaTheme="minorHAnsi" w:hAnsi="Verdana" w:cs="Arial"/>
          <w:sz w:val="24"/>
          <w:szCs w:val="24"/>
        </w:rPr>
        <w:t>n</w:t>
      </w:r>
      <w:r w:rsidR="00000EC9">
        <w:rPr>
          <w:rFonts w:ascii="Verdana" w:eastAsiaTheme="minorHAnsi" w:hAnsi="Verdana" w:cs="Arial"/>
          <w:sz w:val="24"/>
          <w:szCs w:val="24"/>
        </w:rPr>
        <w:t>cy Dec</w:t>
      </w:r>
      <w:r>
        <w:rPr>
          <w:rFonts w:ascii="Verdana" w:eastAsiaTheme="minorHAnsi" w:hAnsi="Verdana" w:cs="Arial"/>
          <w:sz w:val="24"/>
          <w:szCs w:val="24"/>
        </w:rPr>
        <w:t>i</w:t>
      </w:r>
      <w:r w:rsidR="00000EC9">
        <w:rPr>
          <w:rFonts w:ascii="Verdana" w:eastAsiaTheme="minorHAnsi" w:hAnsi="Verdana" w:cs="Arial"/>
          <w:sz w:val="24"/>
          <w:szCs w:val="24"/>
        </w:rPr>
        <w:t>sion Making</w:t>
      </w:r>
      <w:bookmarkEnd w:id="10"/>
    </w:p>
    <w:p w14:paraId="7D85693B" w14:textId="2CDB9B4E" w:rsidR="00351F0A" w:rsidRPr="00351F0A" w:rsidRDefault="00822C87" w:rsidP="00BD5F70">
      <w:pPr>
        <w:spacing w:after="120"/>
      </w:pPr>
      <w:r>
        <w:t xml:space="preserve">If an ‘emergency situation’ results in the breakdown of normal communication channels and therefore impacts the ability to receive approvals for decision-making above a Delegate’s commitment threshold, a delegate is authorised to </w:t>
      </w:r>
      <w:r w:rsidR="00F16ADD">
        <w:t xml:space="preserve">necessarily act to mitigate the situation. A Delegate must inform his or her manager of the actions taken as </w:t>
      </w:r>
      <w:r w:rsidR="00782D6A">
        <w:t>soon as practicable.</w:t>
      </w:r>
    </w:p>
    <w:p w14:paraId="13B73C4C" w14:textId="0FB688DF" w:rsidR="00507D92" w:rsidRDefault="00507D92" w:rsidP="00BD5F70">
      <w:pPr>
        <w:pStyle w:val="Heading1"/>
        <w:spacing w:before="360"/>
        <w:rPr>
          <w:rFonts w:ascii="Verdana" w:eastAsiaTheme="minorHAnsi" w:hAnsi="Verdana" w:cs="Arial"/>
          <w:sz w:val="24"/>
          <w:szCs w:val="24"/>
        </w:rPr>
      </w:pPr>
      <w:bookmarkStart w:id="11" w:name="_Toc118201657"/>
      <w:r w:rsidRPr="00FB56D4">
        <w:rPr>
          <w:rFonts w:ascii="Verdana" w:eastAsiaTheme="minorHAnsi" w:hAnsi="Verdana" w:cs="Arial"/>
          <w:sz w:val="24"/>
          <w:szCs w:val="24"/>
        </w:rPr>
        <w:t>3.</w:t>
      </w:r>
      <w:r>
        <w:rPr>
          <w:rFonts w:ascii="Verdana" w:eastAsiaTheme="minorHAnsi" w:hAnsi="Verdana" w:cs="Arial"/>
          <w:sz w:val="24"/>
          <w:szCs w:val="24"/>
        </w:rPr>
        <w:t>5 Framework of Internal Control</w:t>
      </w:r>
      <w:bookmarkEnd w:id="11"/>
    </w:p>
    <w:p w14:paraId="68AD99AB" w14:textId="698D438D" w:rsidR="00BD5F70" w:rsidRDefault="004B5229" w:rsidP="004B5229">
      <w:pPr>
        <w:spacing w:after="120"/>
      </w:pPr>
      <w:r>
        <w:t>In exercising a delegated authority, a Delegate must observe the following:</w:t>
      </w:r>
    </w:p>
    <w:p w14:paraId="6B656AEF" w14:textId="07316A71" w:rsidR="004B5229" w:rsidRDefault="004B5229" w:rsidP="004B5229">
      <w:pPr>
        <w:pStyle w:val="ListParagraph"/>
        <w:numPr>
          <w:ilvl w:val="0"/>
          <w:numId w:val="23"/>
        </w:numPr>
        <w:spacing w:after="120"/>
      </w:pPr>
      <w:r>
        <w:t>A Delegate must exercise their author</w:t>
      </w:r>
      <w:r w:rsidR="005647D2">
        <w:t>ity subject to and in accordance with the law, the Clubhouse Code of Conduct and organisational policies and procedures</w:t>
      </w:r>
    </w:p>
    <w:p w14:paraId="0DCD23EE" w14:textId="30672C9C" w:rsidR="005647D2" w:rsidRDefault="005647D2" w:rsidP="004B5229">
      <w:pPr>
        <w:pStyle w:val="ListParagraph"/>
        <w:numPr>
          <w:ilvl w:val="0"/>
          <w:numId w:val="23"/>
        </w:numPr>
        <w:spacing w:after="120"/>
      </w:pPr>
      <w:r>
        <w:t xml:space="preserve">A Delegate must not exercise their delegated power and authority if, in doing so, they would create an actual, </w:t>
      </w:r>
      <w:proofErr w:type="gramStart"/>
      <w:r>
        <w:t>perceived</w:t>
      </w:r>
      <w:proofErr w:type="gramEnd"/>
      <w:r>
        <w:t xml:space="preserve"> or potential conflict of interest and/or bestow a personal benefit</w:t>
      </w:r>
    </w:p>
    <w:p w14:paraId="01272535" w14:textId="4C630156" w:rsidR="005647D2" w:rsidRDefault="005647D2" w:rsidP="004B5229">
      <w:pPr>
        <w:pStyle w:val="ListParagraph"/>
        <w:numPr>
          <w:ilvl w:val="0"/>
          <w:numId w:val="23"/>
        </w:numPr>
        <w:spacing w:after="120"/>
      </w:pPr>
      <w:r>
        <w:t>A Delegate must not exercise their authority to approve their own personal expenses</w:t>
      </w:r>
    </w:p>
    <w:p w14:paraId="0D371D28" w14:textId="46ABBBF1" w:rsidR="005647D2" w:rsidRDefault="005647D2" w:rsidP="004B5229">
      <w:pPr>
        <w:pStyle w:val="ListParagraph"/>
        <w:numPr>
          <w:ilvl w:val="0"/>
          <w:numId w:val="23"/>
        </w:numPr>
        <w:spacing w:after="120"/>
      </w:pPr>
      <w:r>
        <w:t xml:space="preserve">The same Delegate may not </w:t>
      </w:r>
      <w:r w:rsidR="00C106F8">
        <w:t>place the order, receive the goods or services, and/or approve the invoice (segregation of duties)</w:t>
      </w:r>
    </w:p>
    <w:p w14:paraId="4555DA67" w14:textId="429AA27F" w:rsidR="00C106F8" w:rsidRDefault="00C106F8" w:rsidP="004B5229">
      <w:pPr>
        <w:pStyle w:val="ListParagraph"/>
        <w:numPr>
          <w:ilvl w:val="0"/>
          <w:numId w:val="23"/>
        </w:numPr>
        <w:spacing w:after="120"/>
      </w:pPr>
      <w:r>
        <w:t>Where ambiguity occurs as to what delegated limit of authority applies</w:t>
      </w:r>
      <w:r w:rsidR="004E05A7">
        <w:t>, a Delegate must adopt a conservative approach by exercising the lowest level of delegated authority that applies</w:t>
      </w:r>
    </w:p>
    <w:p w14:paraId="4158BAC7" w14:textId="6E2A5F40" w:rsidR="004E05A7" w:rsidRPr="00BD5F70" w:rsidRDefault="004E05A7" w:rsidP="004B5229">
      <w:pPr>
        <w:pStyle w:val="ListParagraph"/>
        <w:numPr>
          <w:ilvl w:val="0"/>
          <w:numId w:val="23"/>
        </w:numPr>
        <w:spacing w:after="120"/>
      </w:pPr>
      <w:r>
        <w:t>Authority limits apply to the complete transaction and are exclusive of GST. The splitting of transactions to allow a lower financial limit to be used is prohibited. Approval must always be sought for the final value of the total expenditure. If final expenditure exceeds (or may exceed) a Delegate’s authority limits, approval at a higher authority level must be obtained.</w:t>
      </w:r>
    </w:p>
    <w:p w14:paraId="65A55B94" w14:textId="1D10EF90" w:rsidR="00507D92" w:rsidRDefault="00507D92" w:rsidP="001E0788">
      <w:pPr>
        <w:pStyle w:val="Heading1"/>
        <w:spacing w:before="240"/>
        <w:rPr>
          <w:rFonts w:ascii="Verdana" w:eastAsiaTheme="minorHAnsi" w:hAnsi="Verdana" w:cs="Arial"/>
          <w:sz w:val="24"/>
          <w:szCs w:val="24"/>
        </w:rPr>
      </w:pPr>
      <w:bookmarkStart w:id="12" w:name="_Toc118201658"/>
      <w:r w:rsidRPr="00FB56D4">
        <w:rPr>
          <w:rFonts w:ascii="Verdana" w:eastAsiaTheme="minorHAnsi" w:hAnsi="Verdana" w:cs="Arial"/>
          <w:sz w:val="24"/>
          <w:szCs w:val="24"/>
        </w:rPr>
        <w:t>3.</w:t>
      </w:r>
      <w:r>
        <w:rPr>
          <w:rFonts w:ascii="Verdana" w:eastAsiaTheme="minorHAnsi" w:hAnsi="Verdana" w:cs="Arial"/>
          <w:sz w:val="24"/>
          <w:szCs w:val="24"/>
        </w:rPr>
        <w:t>6 Breaches</w:t>
      </w:r>
      <w:bookmarkEnd w:id="12"/>
    </w:p>
    <w:p w14:paraId="2DC32488" w14:textId="55524EC7" w:rsidR="001E0788" w:rsidRPr="001E0788" w:rsidRDefault="00BE0CB3" w:rsidP="007F5FE6">
      <w:pPr>
        <w:spacing w:after="120"/>
      </w:pPr>
      <w:r>
        <w:t xml:space="preserve">Failure to comply with this Schedule will be taken seriously. In certain circumstances a breach of the Schedule could be referred to an appropriate authority for investigation. Numerous consequences could flow from a breach, including termination of </w:t>
      </w:r>
      <w:r w:rsidR="007F5FE6">
        <w:t>contract/employment and possible prosecution.</w:t>
      </w:r>
    </w:p>
    <w:p w14:paraId="58E9A116" w14:textId="0B4D301E" w:rsidR="00392560" w:rsidRDefault="00507D92" w:rsidP="00BD5F70">
      <w:pPr>
        <w:pStyle w:val="Heading1"/>
        <w:spacing w:before="240"/>
        <w:rPr>
          <w:rFonts w:ascii="Verdana" w:eastAsiaTheme="minorHAnsi" w:hAnsi="Verdana" w:cs="Arial"/>
          <w:szCs w:val="32"/>
        </w:rPr>
      </w:pPr>
      <w:bookmarkStart w:id="13" w:name="_Toc118201659"/>
      <w:r>
        <w:rPr>
          <w:rFonts w:ascii="Verdana" w:eastAsiaTheme="minorHAnsi" w:hAnsi="Verdana" w:cs="Arial"/>
          <w:szCs w:val="32"/>
        </w:rPr>
        <w:t>4</w:t>
      </w:r>
      <w:r w:rsidR="00392560">
        <w:rPr>
          <w:rFonts w:ascii="Verdana" w:eastAsiaTheme="minorHAnsi" w:hAnsi="Verdana" w:cs="Arial"/>
          <w:szCs w:val="32"/>
        </w:rPr>
        <w:t xml:space="preserve">.0 </w:t>
      </w:r>
      <w:r>
        <w:rPr>
          <w:rFonts w:ascii="Verdana" w:eastAsiaTheme="minorHAnsi" w:hAnsi="Verdana" w:cs="Arial"/>
          <w:szCs w:val="32"/>
        </w:rPr>
        <w:t>Responsibilities</w:t>
      </w:r>
      <w:bookmarkEnd w:id="13"/>
    </w:p>
    <w:p w14:paraId="2B3BA945" w14:textId="029E775F" w:rsidR="005C7656" w:rsidRDefault="005C7656" w:rsidP="001B1B5C">
      <w:pPr>
        <w:spacing w:after="120"/>
      </w:pPr>
      <w:r>
        <w:t>The Director has ultimate accountability</w:t>
      </w:r>
      <w:r w:rsidR="001B1B5C">
        <w:t xml:space="preserve"> for the Schedule and for granting ad-hoc delegations and financial limits of authority to a specified position.</w:t>
      </w:r>
    </w:p>
    <w:p w14:paraId="288539ED" w14:textId="77777777" w:rsidR="001325B1" w:rsidRDefault="001325B1" w:rsidP="001B1B5C">
      <w:pPr>
        <w:spacing w:after="120"/>
        <w:sectPr w:rsidR="001325B1" w:rsidSect="001325B1">
          <w:headerReference w:type="default" r:id="rId11"/>
          <w:footerReference w:type="default" r:id="rId12"/>
          <w:headerReference w:type="first" r:id="rId13"/>
          <w:footerReference w:type="first" r:id="rId14"/>
          <w:pgSz w:w="11906" w:h="16838"/>
          <w:pgMar w:top="717" w:right="991" w:bottom="426" w:left="993" w:header="570" w:footer="468" w:gutter="0"/>
          <w:cols w:space="708"/>
          <w:docGrid w:linePitch="360"/>
        </w:sectPr>
      </w:pPr>
    </w:p>
    <w:p w14:paraId="14562931" w14:textId="21F5C3DC" w:rsidR="001B1B5C" w:rsidRDefault="001B1B5C" w:rsidP="001B1B5C">
      <w:pPr>
        <w:spacing w:after="120"/>
      </w:pPr>
      <w:r>
        <w:t>The Director must ensure that:</w:t>
      </w:r>
    </w:p>
    <w:p w14:paraId="6C679E0B" w14:textId="350C8BEB" w:rsidR="001B1B5C" w:rsidRDefault="001B1B5C" w:rsidP="001B1B5C">
      <w:pPr>
        <w:pStyle w:val="ListParagraph"/>
        <w:numPr>
          <w:ilvl w:val="0"/>
          <w:numId w:val="24"/>
        </w:numPr>
        <w:spacing w:after="120"/>
      </w:pPr>
      <w:r>
        <w:t xml:space="preserve">The </w:t>
      </w:r>
      <w:r w:rsidR="0054415E">
        <w:t>final transactions of The Junction Clubhouse are executed within the scope of delegates authorities</w:t>
      </w:r>
    </w:p>
    <w:p w14:paraId="3D6082CD" w14:textId="75D1D8D4" w:rsidR="0054415E" w:rsidRDefault="0054415E" w:rsidP="001B1B5C">
      <w:pPr>
        <w:pStyle w:val="ListParagraph"/>
        <w:numPr>
          <w:ilvl w:val="0"/>
          <w:numId w:val="24"/>
        </w:numPr>
        <w:spacing w:after="120"/>
      </w:pPr>
      <w:r>
        <w:t>The organisation’s systems of internal control adequately manage and monitor the implementation and operation of delegated authorities</w:t>
      </w:r>
    </w:p>
    <w:p w14:paraId="0E782817" w14:textId="69A5BF13" w:rsidR="0054415E" w:rsidRDefault="0054415E" w:rsidP="001B1B5C">
      <w:pPr>
        <w:pStyle w:val="ListParagraph"/>
        <w:numPr>
          <w:ilvl w:val="0"/>
          <w:numId w:val="24"/>
        </w:numPr>
        <w:spacing w:after="120"/>
      </w:pPr>
      <w:r>
        <w:t>The delegations of authority achieve the objectives of authority delegation and proper financial control</w:t>
      </w:r>
    </w:p>
    <w:p w14:paraId="5064A9EA" w14:textId="11C2AA12" w:rsidR="0054415E" w:rsidRPr="005C7656" w:rsidRDefault="009D0572" w:rsidP="0054415E">
      <w:pPr>
        <w:spacing w:after="120"/>
      </w:pPr>
      <w:r>
        <w:t>Delegates must comply with the requirements detailed in this Schedule when exercising a delegated authority.</w:t>
      </w:r>
    </w:p>
    <w:p w14:paraId="15D59DBD" w14:textId="3922C79E" w:rsidR="00392560" w:rsidRDefault="00507D92" w:rsidP="00BD5F70">
      <w:pPr>
        <w:pStyle w:val="Heading1"/>
        <w:spacing w:before="240"/>
        <w:rPr>
          <w:rFonts w:ascii="Verdana" w:eastAsiaTheme="minorHAnsi" w:hAnsi="Verdana" w:cs="Arial"/>
          <w:szCs w:val="32"/>
        </w:rPr>
      </w:pPr>
      <w:bookmarkStart w:id="14" w:name="_Toc118201660"/>
      <w:r>
        <w:rPr>
          <w:rFonts w:ascii="Verdana" w:eastAsiaTheme="minorHAnsi" w:hAnsi="Verdana" w:cs="Arial"/>
          <w:szCs w:val="32"/>
        </w:rPr>
        <w:t>5</w:t>
      </w:r>
      <w:r w:rsidR="00392560">
        <w:rPr>
          <w:rFonts w:ascii="Verdana" w:eastAsiaTheme="minorHAnsi" w:hAnsi="Verdana" w:cs="Arial"/>
          <w:szCs w:val="32"/>
        </w:rPr>
        <w:t xml:space="preserve">.0 </w:t>
      </w:r>
      <w:r>
        <w:rPr>
          <w:rFonts w:ascii="Verdana" w:eastAsiaTheme="minorHAnsi" w:hAnsi="Verdana" w:cs="Arial"/>
          <w:szCs w:val="32"/>
        </w:rPr>
        <w:t>Review and Consultation</w:t>
      </w:r>
      <w:bookmarkEnd w:id="14"/>
    </w:p>
    <w:p w14:paraId="6256E598" w14:textId="7856640A" w:rsidR="009D0572" w:rsidRPr="005C7656" w:rsidRDefault="008305F8" w:rsidP="009D0572">
      <w:pPr>
        <w:spacing w:after="120"/>
      </w:pPr>
      <w:r>
        <w:t>This document is required to be reviewed annually as a minimum</w:t>
      </w:r>
      <w:r w:rsidR="009D0572">
        <w:t>.</w:t>
      </w:r>
    </w:p>
    <w:p w14:paraId="3F111FD8" w14:textId="78C5F525" w:rsidR="00392560" w:rsidRDefault="00507D92" w:rsidP="00BD5F70">
      <w:pPr>
        <w:pStyle w:val="Heading1"/>
        <w:spacing w:before="240"/>
        <w:rPr>
          <w:rFonts w:ascii="Verdana" w:eastAsiaTheme="minorHAnsi" w:hAnsi="Verdana" w:cs="Arial"/>
          <w:szCs w:val="32"/>
        </w:rPr>
      </w:pPr>
      <w:bookmarkStart w:id="15" w:name="_Toc118201661"/>
      <w:r>
        <w:rPr>
          <w:rFonts w:ascii="Verdana" w:eastAsiaTheme="minorHAnsi" w:hAnsi="Verdana" w:cs="Arial"/>
          <w:szCs w:val="32"/>
        </w:rPr>
        <w:t>6</w:t>
      </w:r>
      <w:r w:rsidR="00392560">
        <w:rPr>
          <w:rFonts w:ascii="Verdana" w:eastAsiaTheme="minorHAnsi" w:hAnsi="Verdana" w:cs="Arial"/>
          <w:szCs w:val="32"/>
        </w:rPr>
        <w:t xml:space="preserve">.0 </w:t>
      </w:r>
      <w:r>
        <w:rPr>
          <w:rFonts w:ascii="Verdana" w:eastAsiaTheme="minorHAnsi" w:hAnsi="Verdana" w:cs="Arial"/>
          <w:szCs w:val="32"/>
        </w:rPr>
        <w:t>Approval</w:t>
      </w:r>
      <w:bookmarkEnd w:id="15"/>
    </w:p>
    <w:p w14:paraId="7525EF72" w14:textId="350D3557" w:rsidR="008305F8" w:rsidRPr="005C7656" w:rsidRDefault="008305F8" w:rsidP="008305F8">
      <w:pPr>
        <w:spacing w:after="120"/>
      </w:pPr>
      <w:r>
        <w:t>The Director</w:t>
      </w:r>
      <w:r w:rsidR="00974EB1">
        <w:t xml:space="preserve"> Schedule of </w:t>
      </w:r>
      <w:r>
        <w:t>Delegat</w:t>
      </w:r>
      <w:r w:rsidR="00974EB1">
        <w:t xml:space="preserve">ions will be recorded as a resolution of the Board of Directors. </w:t>
      </w:r>
    </w:p>
    <w:p w14:paraId="0EFF868D" w14:textId="1A971A36" w:rsidR="00392560" w:rsidRDefault="00F30AD9" w:rsidP="00BD5F70">
      <w:pPr>
        <w:pStyle w:val="Heading1"/>
        <w:spacing w:before="240"/>
        <w:rPr>
          <w:rFonts w:ascii="Verdana" w:eastAsiaTheme="minorHAnsi" w:hAnsi="Verdana" w:cs="Arial"/>
          <w:szCs w:val="32"/>
        </w:rPr>
      </w:pPr>
      <w:bookmarkStart w:id="16" w:name="_Toc118201662"/>
      <w:r>
        <w:rPr>
          <w:rFonts w:ascii="Verdana" w:eastAsiaTheme="minorHAnsi" w:hAnsi="Verdana" w:cs="Arial"/>
          <w:szCs w:val="32"/>
        </w:rPr>
        <w:t>7</w:t>
      </w:r>
      <w:r w:rsidR="00392560">
        <w:rPr>
          <w:rFonts w:ascii="Verdana" w:eastAsiaTheme="minorHAnsi" w:hAnsi="Verdana" w:cs="Arial"/>
          <w:szCs w:val="32"/>
        </w:rPr>
        <w:t xml:space="preserve">.0 </w:t>
      </w:r>
      <w:r>
        <w:rPr>
          <w:rFonts w:ascii="Verdana" w:eastAsiaTheme="minorHAnsi" w:hAnsi="Verdana" w:cs="Arial"/>
          <w:szCs w:val="32"/>
        </w:rPr>
        <w:t>References</w:t>
      </w:r>
      <w:bookmarkEnd w:id="16"/>
    </w:p>
    <w:p w14:paraId="5FCBAE67" w14:textId="7F2575F7" w:rsidR="008305F8" w:rsidRDefault="00974EB1" w:rsidP="00974EB1">
      <w:pPr>
        <w:pStyle w:val="ListParagraph"/>
        <w:numPr>
          <w:ilvl w:val="0"/>
          <w:numId w:val="26"/>
        </w:numPr>
        <w:spacing w:after="120"/>
      </w:pPr>
      <w:r w:rsidRPr="00131D6B">
        <w:rPr>
          <w:i/>
          <w:iCs/>
        </w:rPr>
        <w:t>The Corporations Act 2001</w:t>
      </w:r>
      <w:r>
        <w:t xml:space="preserve"> (</w:t>
      </w:r>
      <w:r w:rsidRPr="00551C49">
        <w:rPr>
          <w:i/>
          <w:iCs/>
        </w:rPr>
        <w:t>The Act</w:t>
      </w:r>
      <w:r w:rsidR="00551C49">
        <w:t>)</w:t>
      </w:r>
    </w:p>
    <w:p w14:paraId="5B2B7067" w14:textId="74B0C9A2" w:rsidR="00551C49" w:rsidRDefault="00551C49" w:rsidP="00974EB1">
      <w:pPr>
        <w:pStyle w:val="ListParagraph"/>
        <w:numPr>
          <w:ilvl w:val="0"/>
          <w:numId w:val="26"/>
        </w:numPr>
        <w:spacing w:after="120"/>
      </w:pPr>
      <w:r>
        <w:t>The Junction Clubhouse Constitution</w:t>
      </w:r>
    </w:p>
    <w:p w14:paraId="3D3437AD" w14:textId="7AFF5359" w:rsidR="00551C49" w:rsidRDefault="00551C49" w:rsidP="00974EB1">
      <w:pPr>
        <w:pStyle w:val="ListParagraph"/>
        <w:numPr>
          <w:ilvl w:val="0"/>
          <w:numId w:val="26"/>
        </w:numPr>
        <w:spacing w:after="120"/>
      </w:pPr>
      <w:r>
        <w:t>Register of Director ad-hoc or specific delegations</w:t>
      </w:r>
    </w:p>
    <w:p w14:paraId="302D88DA" w14:textId="65F9C2D0" w:rsidR="00551C49" w:rsidRPr="005C7656" w:rsidRDefault="00551C49" w:rsidP="00974EB1">
      <w:pPr>
        <w:pStyle w:val="ListParagraph"/>
        <w:numPr>
          <w:ilvl w:val="0"/>
          <w:numId w:val="26"/>
        </w:numPr>
        <w:spacing w:after="120"/>
      </w:pPr>
      <w:r w:rsidRPr="00131D6B">
        <w:rPr>
          <w:i/>
          <w:iCs/>
        </w:rPr>
        <w:t>Workplace Health and Safety Act 2011</w:t>
      </w:r>
      <w:r>
        <w:t xml:space="preserve"> and </w:t>
      </w:r>
      <w:r w:rsidRPr="00131D6B">
        <w:rPr>
          <w:i/>
          <w:iCs/>
        </w:rPr>
        <w:t>Regulations 2011</w:t>
      </w:r>
    </w:p>
    <w:p w14:paraId="7BD983F8" w14:textId="71B072D2" w:rsidR="00392560" w:rsidRDefault="00F30AD9" w:rsidP="00BD5F70">
      <w:pPr>
        <w:pStyle w:val="Heading1"/>
        <w:spacing w:before="240"/>
        <w:rPr>
          <w:rFonts w:ascii="Verdana" w:eastAsiaTheme="minorHAnsi" w:hAnsi="Verdana" w:cs="Arial"/>
          <w:szCs w:val="32"/>
        </w:rPr>
      </w:pPr>
      <w:bookmarkStart w:id="17" w:name="_Toc118201663"/>
      <w:r>
        <w:rPr>
          <w:rFonts w:ascii="Verdana" w:eastAsiaTheme="minorHAnsi" w:hAnsi="Verdana" w:cs="Arial"/>
          <w:szCs w:val="32"/>
        </w:rPr>
        <w:t>8</w:t>
      </w:r>
      <w:r w:rsidR="00392560">
        <w:rPr>
          <w:rFonts w:ascii="Verdana" w:eastAsiaTheme="minorHAnsi" w:hAnsi="Verdana" w:cs="Arial"/>
          <w:szCs w:val="32"/>
        </w:rPr>
        <w:t xml:space="preserve">.0 </w:t>
      </w:r>
      <w:r>
        <w:rPr>
          <w:rFonts w:ascii="Verdana" w:eastAsiaTheme="minorHAnsi" w:hAnsi="Verdana" w:cs="Arial"/>
          <w:szCs w:val="32"/>
        </w:rPr>
        <w:t>Definitions</w:t>
      </w:r>
      <w:bookmarkEnd w:id="17"/>
    </w:p>
    <w:p w14:paraId="0C61B933" w14:textId="667873FA" w:rsidR="00573E08" w:rsidRDefault="008305F8" w:rsidP="00573E08">
      <w:pPr>
        <w:spacing w:after="120"/>
        <w:ind w:left="2880" w:hanging="2880"/>
      </w:pPr>
      <w:r w:rsidRPr="00CC381F">
        <w:rPr>
          <w:b/>
          <w:bCs/>
        </w:rPr>
        <w:t>Delegate</w:t>
      </w:r>
      <w:r w:rsidR="00603126">
        <w:t xml:space="preserve">: </w:t>
      </w:r>
      <w:r w:rsidR="00603126">
        <w:tab/>
        <w:t>Refer</w:t>
      </w:r>
      <w:r>
        <w:t>s</w:t>
      </w:r>
      <w:r w:rsidR="00603126">
        <w:t xml:space="preserve"> to the Clubhouse employee or contract employee who has been delegated </w:t>
      </w:r>
      <w:r w:rsidR="00573E08">
        <w:t>power and authority under this Schedule.</w:t>
      </w:r>
    </w:p>
    <w:p w14:paraId="256441EF" w14:textId="6EA0911C" w:rsidR="00573E08" w:rsidRDefault="00573E08" w:rsidP="00573E08">
      <w:pPr>
        <w:spacing w:after="120"/>
        <w:ind w:left="2880" w:hanging="2880"/>
      </w:pPr>
      <w:r w:rsidRPr="00CC381F">
        <w:rPr>
          <w:b/>
          <w:bCs/>
        </w:rPr>
        <w:t>Director</w:t>
      </w:r>
      <w:r>
        <w:t xml:space="preserve">: </w:t>
      </w:r>
      <w:r>
        <w:tab/>
        <w:t xml:space="preserve">The person holding the position of Board-appointed Executive Officer of The Junction Clubhouse. In this context it excludes any individual </w:t>
      </w:r>
      <w:r w:rsidR="00CC381F">
        <w:t>member of the Board.</w:t>
      </w:r>
    </w:p>
    <w:p w14:paraId="145552A8" w14:textId="3CD7E6B0" w:rsidR="00CC381F" w:rsidRDefault="00CC381F" w:rsidP="00CC381F">
      <w:pPr>
        <w:spacing w:after="120"/>
        <w:ind w:left="2880" w:hanging="2880"/>
      </w:pPr>
      <w:r w:rsidRPr="00BB7CEC">
        <w:rPr>
          <w:b/>
          <w:bCs/>
        </w:rPr>
        <w:t>Segregation of duties</w:t>
      </w:r>
      <w:r>
        <w:t xml:space="preserve">: </w:t>
      </w:r>
      <w:r>
        <w:tab/>
        <w:t>Means that a delegate must not have responsibility for more than one related function. For example, the Delegate responsible for purchasing the goods must not be responsible for paying for the goods.</w:t>
      </w:r>
    </w:p>
    <w:p w14:paraId="524E3CBA" w14:textId="77777777" w:rsidR="00CC381F" w:rsidRDefault="00CC381F" w:rsidP="00BD5F70">
      <w:pPr>
        <w:pStyle w:val="Heading1"/>
        <w:spacing w:before="240"/>
        <w:ind w:firstLine="720"/>
        <w:rPr>
          <w:rFonts w:ascii="Verdana" w:eastAsiaTheme="minorHAnsi" w:hAnsi="Verdana" w:cs="Arial"/>
          <w:sz w:val="24"/>
          <w:szCs w:val="24"/>
        </w:rPr>
        <w:sectPr w:rsidR="00CC381F" w:rsidSect="00930D21">
          <w:pgSz w:w="11906" w:h="16838"/>
          <w:pgMar w:top="717" w:right="991" w:bottom="426" w:left="993" w:header="570" w:footer="468" w:gutter="0"/>
          <w:cols w:space="708"/>
          <w:titlePg/>
          <w:docGrid w:linePitch="360"/>
        </w:sectPr>
      </w:pPr>
    </w:p>
    <w:p w14:paraId="7361A5FC" w14:textId="33A8B82E" w:rsidR="00F30AD9" w:rsidRDefault="00F30AD9" w:rsidP="00481464">
      <w:pPr>
        <w:pStyle w:val="Heading1"/>
        <w:spacing w:before="0"/>
        <w:ind w:firstLine="720"/>
        <w:rPr>
          <w:rFonts w:ascii="Verdana" w:eastAsiaTheme="minorHAnsi" w:hAnsi="Verdana" w:cs="Arial"/>
          <w:sz w:val="24"/>
          <w:szCs w:val="24"/>
        </w:rPr>
      </w:pPr>
      <w:bookmarkStart w:id="18" w:name="_Toc118201664"/>
      <w:r>
        <w:rPr>
          <w:rFonts w:ascii="Verdana" w:eastAsiaTheme="minorHAnsi" w:hAnsi="Verdana" w:cs="Arial"/>
          <w:sz w:val="24"/>
          <w:szCs w:val="24"/>
        </w:rPr>
        <w:t>Appendix One</w:t>
      </w:r>
      <w:bookmarkEnd w:id="18"/>
    </w:p>
    <w:tbl>
      <w:tblPr>
        <w:tblStyle w:val="TableGrid"/>
        <w:tblW w:w="0" w:type="auto"/>
        <w:jc w:val="center"/>
        <w:tblLook w:val="04A0" w:firstRow="1" w:lastRow="0" w:firstColumn="1" w:lastColumn="0" w:noHBand="0" w:noVBand="1"/>
      </w:tblPr>
      <w:tblGrid>
        <w:gridCol w:w="3000"/>
        <w:gridCol w:w="3137"/>
        <w:gridCol w:w="3137"/>
        <w:gridCol w:w="3137"/>
        <w:gridCol w:w="3137"/>
      </w:tblGrid>
      <w:tr w:rsidR="00AB384E" w14:paraId="4DFB779E" w14:textId="77777777" w:rsidTr="00481464">
        <w:trPr>
          <w:jc w:val="center"/>
        </w:trPr>
        <w:tc>
          <w:tcPr>
            <w:tcW w:w="3000" w:type="dxa"/>
            <w:vMerge w:val="restart"/>
            <w:shd w:val="clear" w:color="auto" w:fill="F2F2F2" w:themeFill="background1" w:themeFillShade="F2"/>
            <w:vAlign w:val="center"/>
          </w:tcPr>
          <w:p w14:paraId="51592A80" w14:textId="2153B6DF" w:rsidR="00AB384E" w:rsidRPr="00481464" w:rsidRDefault="00AB384E" w:rsidP="00AB384E">
            <w:pPr>
              <w:spacing w:after="0"/>
              <w:rPr>
                <w:b/>
                <w:bCs/>
                <w:sz w:val="18"/>
                <w:szCs w:val="18"/>
              </w:rPr>
            </w:pPr>
            <w:r w:rsidRPr="00481464">
              <w:rPr>
                <w:b/>
                <w:bCs/>
                <w:sz w:val="18"/>
                <w:szCs w:val="18"/>
              </w:rPr>
              <w:t>Operational Expenditure (Commitment and Approval)</w:t>
            </w:r>
          </w:p>
        </w:tc>
        <w:tc>
          <w:tcPr>
            <w:tcW w:w="3137" w:type="dxa"/>
            <w:vAlign w:val="center"/>
          </w:tcPr>
          <w:p w14:paraId="64C05E6B" w14:textId="77777777" w:rsidR="00AB384E" w:rsidRPr="00481464" w:rsidRDefault="00AB384E" w:rsidP="00AB384E">
            <w:pPr>
              <w:spacing w:after="0"/>
              <w:rPr>
                <w:sz w:val="18"/>
                <w:szCs w:val="18"/>
              </w:rPr>
            </w:pPr>
          </w:p>
        </w:tc>
        <w:tc>
          <w:tcPr>
            <w:tcW w:w="3137" w:type="dxa"/>
            <w:shd w:val="clear" w:color="auto" w:fill="E5B8B7" w:themeFill="accent2" w:themeFillTint="66"/>
            <w:vAlign w:val="center"/>
          </w:tcPr>
          <w:p w14:paraId="42F31A9E" w14:textId="5F7DF291" w:rsidR="00AB384E" w:rsidRPr="00481464" w:rsidRDefault="00AB384E" w:rsidP="00AB384E">
            <w:pPr>
              <w:spacing w:after="0"/>
              <w:rPr>
                <w:b/>
                <w:bCs/>
                <w:sz w:val="18"/>
                <w:szCs w:val="18"/>
              </w:rPr>
            </w:pPr>
            <w:r w:rsidRPr="00481464">
              <w:rPr>
                <w:b/>
                <w:bCs/>
                <w:sz w:val="18"/>
                <w:szCs w:val="18"/>
              </w:rPr>
              <w:t>Board</w:t>
            </w:r>
          </w:p>
        </w:tc>
        <w:tc>
          <w:tcPr>
            <w:tcW w:w="3137" w:type="dxa"/>
            <w:shd w:val="clear" w:color="auto" w:fill="B6DDE8" w:themeFill="accent5" w:themeFillTint="66"/>
            <w:vAlign w:val="center"/>
          </w:tcPr>
          <w:p w14:paraId="035100E2" w14:textId="238C4717" w:rsidR="00AB384E" w:rsidRPr="00481464" w:rsidRDefault="00AB384E" w:rsidP="00AB384E">
            <w:pPr>
              <w:spacing w:after="0"/>
              <w:rPr>
                <w:b/>
                <w:bCs/>
                <w:sz w:val="18"/>
                <w:szCs w:val="18"/>
              </w:rPr>
            </w:pPr>
            <w:r w:rsidRPr="00481464">
              <w:rPr>
                <w:b/>
                <w:bCs/>
                <w:sz w:val="18"/>
                <w:szCs w:val="18"/>
              </w:rPr>
              <w:t>Level 1</w:t>
            </w:r>
          </w:p>
        </w:tc>
        <w:tc>
          <w:tcPr>
            <w:tcW w:w="3137" w:type="dxa"/>
            <w:shd w:val="clear" w:color="auto" w:fill="D6E3BC" w:themeFill="accent3" w:themeFillTint="66"/>
            <w:vAlign w:val="center"/>
          </w:tcPr>
          <w:p w14:paraId="559B9DA4" w14:textId="2FDA4318" w:rsidR="00AB384E" w:rsidRPr="00481464" w:rsidRDefault="00AB384E" w:rsidP="00AB384E">
            <w:pPr>
              <w:spacing w:after="0"/>
              <w:rPr>
                <w:b/>
                <w:bCs/>
                <w:sz w:val="18"/>
                <w:szCs w:val="18"/>
              </w:rPr>
            </w:pPr>
            <w:r w:rsidRPr="00481464">
              <w:rPr>
                <w:b/>
                <w:bCs/>
                <w:sz w:val="18"/>
                <w:szCs w:val="18"/>
              </w:rPr>
              <w:t>Level 2</w:t>
            </w:r>
          </w:p>
        </w:tc>
      </w:tr>
      <w:tr w:rsidR="00AB384E" w14:paraId="671DC771" w14:textId="77777777" w:rsidTr="00481464">
        <w:trPr>
          <w:jc w:val="center"/>
        </w:trPr>
        <w:tc>
          <w:tcPr>
            <w:tcW w:w="3000" w:type="dxa"/>
            <w:vMerge/>
            <w:shd w:val="clear" w:color="auto" w:fill="F2F2F2" w:themeFill="background1" w:themeFillShade="F2"/>
            <w:vAlign w:val="center"/>
          </w:tcPr>
          <w:p w14:paraId="4328CD7A" w14:textId="77777777" w:rsidR="00AB384E" w:rsidRPr="00481464" w:rsidRDefault="00AB384E" w:rsidP="00AB384E">
            <w:pPr>
              <w:spacing w:after="0"/>
              <w:rPr>
                <w:sz w:val="18"/>
                <w:szCs w:val="18"/>
              </w:rPr>
            </w:pPr>
          </w:p>
        </w:tc>
        <w:tc>
          <w:tcPr>
            <w:tcW w:w="3137" w:type="dxa"/>
            <w:vAlign w:val="center"/>
          </w:tcPr>
          <w:p w14:paraId="0F5F9C70" w14:textId="00F60EC0" w:rsidR="00AB384E" w:rsidRPr="00481464" w:rsidRDefault="00A60A9E" w:rsidP="00AB384E">
            <w:pPr>
              <w:spacing w:after="0"/>
              <w:rPr>
                <w:sz w:val="18"/>
                <w:szCs w:val="18"/>
              </w:rPr>
            </w:pPr>
            <w:r w:rsidRPr="00481464">
              <w:rPr>
                <w:sz w:val="18"/>
                <w:szCs w:val="18"/>
              </w:rPr>
              <w:t>Within Board-approved</w:t>
            </w:r>
            <w:r w:rsidR="00BC7CE2" w:rsidRPr="00481464">
              <w:rPr>
                <w:sz w:val="18"/>
                <w:szCs w:val="18"/>
              </w:rPr>
              <w:t xml:space="preserve"> operational expenditure budget</w:t>
            </w:r>
            <w:r w:rsidR="00167C67" w:rsidRPr="00481464">
              <w:rPr>
                <w:sz w:val="18"/>
                <w:szCs w:val="18"/>
              </w:rPr>
              <w:t>(s)</w:t>
            </w:r>
          </w:p>
        </w:tc>
        <w:tc>
          <w:tcPr>
            <w:tcW w:w="3137" w:type="dxa"/>
            <w:vAlign w:val="center"/>
          </w:tcPr>
          <w:p w14:paraId="6201235E" w14:textId="411B7CE0" w:rsidR="00AB384E" w:rsidRPr="00481464" w:rsidRDefault="00167C67" w:rsidP="00AB384E">
            <w:pPr>
              <w:spacing w:after="0"/>
              <w:rPr>
                <w:sz w:val="18"/>
                <w:szCs w:val="18"/>
              </w:rPr>
            </w:pPr>
            <w:r w:rsidRPr="00481464">
              <w:rPr>
                <w:sz w:val="18"/>
                <w:szCs w:val="18"/>
              </w:rPr>
              <w:t>Unlimited</w:t>
            </w:r>
          </w:p>
        </w:tc>
        <w:tc>
          <w:tcPr>
            <w:tcW w:w="3137" w:type="dxa"/>
            <w:vAlign w:val="center"/>
          </w:tcPr>
          <w:p w14:paraId="60B6AD34" w14:textId="2CE7B3B0" w:rsidR="00AB384E" w:rsidRPr="00481464" w:rsidRDefault="005810FA" w:rsidP="00AB384E">
            <w:pPr>
              <w:spacing w:after="0"/>
              <w:rPr>
                <w:sz w:val="18"/>
                <w:szCs w:val="18"/>
              </w:rPr>
            </w:pPr>
            <w:r w:rsidRPr="00481464">
              <w:rPr>
                <w:sz w:val="18"/>
                <w:szCs w:val="18"/>
              </w:rPr>
              <w:t>Unlimited</w:t>
            </w:r>
          </w:p>
        </w:tc>
        <w:tc>
          <w:tcPr>
            <w:tcW w:w="3137" w:type="dxa"/>
            <w:vAlign w:val="center"/>
          </w:tcPr>
          <w:p w14:paraId="5B1F9ED9" w14:textId="7496EAD7" w:rsidR="00AB384E" w:rsidRPr="00481464" w:rsidRDefault="005810FA" w:rsidP="00AB384E">
            <w:pPr>
              <w:spacing w:after="0"/>
              <w:rPr>
                <w:sz w:val="18"/>
                <w:szCs w:val="18"/>
              </w:rPr>
            </w:pPr>
            <w:r w:rsidRPr="00481464">
              <w:rPr>
                <w:sz w:val="18"/>
                <w:szCs w:val="18"/>
              </w:rPr>
              <w:t>Unlimited (to program or cost centre limits only)</w:t>
            </w:r>
          </w:p>
        </w:tc>
      </w:tr>
      <w:tr w:rsidR="00AB384E" w14:paraId="7B7B6329" w14:textId="77777777" w:rsidTr="00481464">
        <w:trPr>
          <w:jc w:val="center"/>
        </w:trPr>
        <w:tc>
          <w:tcPr>
            <w:tcW w:w="3000" w:type="dxa"/>
            <w:vMerge/>
            <w:shd w:val="clear" w:color="auto" w:fill="F2F2F2" w:themeFill="background1" w:themeFillShade="F2"/>
            <w:vAlign w:val="center"/>
          </w:tcPr>
          <w:p w14:paraId="7C79275E" w14:textId="77777777" w:rsidR="00AB384E" w:rsidRPr="00481464" w:rsidRDefault="00AB384E" w:rsidP="00AB384E">
            <w:pPr>
              <w:spacing w:after="0"/>
              <w:rPr>
                <w:sz w:val="18"/>
                <w:szCs w:val="18"/>
              </w:rPr>
            </w:pPr>
          </w:p>
        </w:tc>
        <w:tc>
          <w:tcPr>
            <w:tcW w:w="3137" w:type="dxa"/>
            <w:vAlign w:val="center"/>
          </w:tcPr>
          <w:p w14:paraId="4EE841E0" w14:textId="422E0C4B" w:rsidR="00AB384E" w:rsidRPr="00481464" w:rsidRDefault="00BC7CE2" w:rsidP="00AB384E">
            <w:pPr>
              <w:spacing w:after="0"/>
              <w:rPr>
                <w:sz w:val="18"/>
                <w:szCs w:val="18"/>
              </w:rPr>
            </w:pPr>
            <w:r w:rsidRPr="00481464">
              <w:rPr>
                <w:sz w:val="18"/>
                <w:szCs w:val="18"/>
              </w:rPr>
              <w:t xml:space="preserve">Above Board-approved </w:t>
            </w:r>
            <w:r w:rsidR="00167C67" w:rsidRPr="00481464">
              <w:rPr>
                <w:sz w:val="18"/>
                <w:szCs w:val="18"/>
              </w:rPr>
              <w:t xml:space="preserve">and/or relevant cost centre/program </w:t>
            </w:r>
            <w:r w:rsidRPr="00481464">
              <w:rPr>
                <w:sz w:val="18"/>
                <w:szCs w:val="18"/>
              </w:rPr>
              <w:t>operational expenditure budget</w:t>
            </w:r>
            <w:r w:rsidR="00167C67" w:rsidRPr="00481464">
              <w:rPr>
                <w:sz w:val="18"/>
                <w:szCs w:val="18"/>
              </w:rPr>
              <w:t>(s)</w:t>
            </w:r>
          </w:p>
        </w:tc>
        <w:tc>
          <w:tcPr>
            <w:tcW w:w="3137" w:type="dxa"/>
            <w:vAlign w:val="center"/>
          </w:tcPr>
          <w:p w14:paraId="3F340A9D" w14:textId="4B8E83CB" w:rsidR="00AB384E" w:rsidRPr="00481464" w:rsidRDefault="00E8706D" w:rsidP="00AB384E">
            <w:pPr>
              <w:spacing w:after="0"/>
              <w:rPr>
                <w:sz w:val="18"/>
                <w:szCs w:val="18"/>
              </w:rPr>
            </w:pPr>
            <w:r w:rsidRPr="00481464">
              <w:rPr>
                <w:sz w:val="18"/>
                <w:szCs w:val="18"/>
              </w:rPr>
              <w:t>Refer to Corporate Risk Appetite Statement</w:t>
            </w:r>
          </w:p>
        </w:tc>
        <w:tc>
          <w:tcPr>
            <w:tcW w:w="3137" w:type="dxa"/>
            <w:vAlign w:val="center"/>
          </w:tcPr>
          <w:p w14:paraId="4A87F383" w14:textId="3D739471" w:rsidR="00AB384E" w:rsidRPr="00481464" w:rsidRDefault="005810FA" w:rsidP="00AB384E">
            <w:pPr>
              <w:spacing w:after="0"/>
              <w:rPr>
                <w:sz w:val="18"/>
                <w:szCs w:val="18"/>
              </w:rPr>
            </w:pPr>
            <w:r w:rsidRPr="00481464">
              <w:rPr>
                <w:sz w:val="18"/>
                <w:szCs w:val="18"/>
              </w:rPr>
              <w:t>&lt;$50,000</w:t>
            </w:r>
          </w:p>
        </w:tc>
        <w:tc>
          <w:tcPr>
            <w:tcW w:w="3137" w:type="dxa"/>
            <w:vAlign w:val="center"/>
          </w:tcPr>
          <w:p w14:paraId="5C95D78F" w14:textId="20744B5A" w:rsidR="00AB384E" w:rsidRPr="00481464" w:rsidRDefault="00A85E1F" w:rsidP="00AB384E">
            <w:pPr>
              <w:spacing w:after="0"/>
              <w:rPr>
                <w:sz w:val="18"/>
                <w:szCs w:val="18"/>
              </w:rPr>
            </w:pPr>
            <w:r w:rsidRPr="00481464">
              <w:rPr>
                <w:sz w:val="18"/>
                <w:szCs w:val="18"/>
              </w:rPr>
              <w:t>&lt;$10,000</w:t>
            </w:r>
          </w:p>
        </w:tc>
      </w:tr>
    </w:tbl>
    <w:p w14:paraId="6AAE7C79" w14:textId="169C2D78" w:rsidR="0012676B" w:rsidRDefault="0012676B" w:rsidP="00FE60DB">
      <w:pPr>
        <w:spacing w:after="120"/>
      </w:pPr>
    </w:p>
    <w:tbl>
      <w:tblPr>
        <w:tblStyle w:val="TableGrid"/>
        <w:tblW w:w="0" w:type="auto"/>
        <w:jc w:val="center"/>
        <w:tblLook w:val="04A0" w:firstRow="1" w:lastRow="0" w:firstColumn="1" w:lastColumn="0" w:noHBand="0" w:noVBand="1"/>
      </w:tblPr>
      <w:tblGrid>
        <w:gridCol w:w="3000"/>
        <w:gridCol w:w="3137"/>
        <w:gridCol w:w="3137"/>
        <w:gridCol w:w="3137"/>
        <w:gridCol w:w="3137"/>
      </w:tblGrid>
      <w:tr w:rsidR="00275BA1" w14:paraId="76861283" w14:textId="77777777" w:rsidTr="00481464">
        <w:trPr>
          <w:jc w:val="center"/>
        </w:trPr>
        <w:tc>
          <w:tcPr>
            <w:tcW w:w="3000" w:type="dxa"/>
            <w:vMerge w:val="restart"/>
            <w:shd w:val="clear" w:color="auto" w:fill="F2F2F2" w:themeFill="background1" w:themeFillShade="F2"/>
            <w:vAlign w:val="center"/>
          </w:tcPr>
          <w:p w14:paraId="2332B5C8" w14:textId="6C77CABE" w:rsidR="00275BA1" w:rsidRPr="00481464" w:rsidRDefault="00275BA1" w:rsidP="002B0627">
            <w:pPr>
              <w:spacing w:after="0"/>
              <w:rPr>
                <w:b/>
                <w:bCs/>
                <w:sz w:val="18"/>
                <w:szCs w:val="18"/>
              </w:rPr>
            </w:pPr>
            <w:r w:rsidRPr="00481464">
              <w:rPr>
                <w:b/>
                <w:bCs/>
                <w:sz w:val="18"/>
                <w:szCs w:val="18"/>
              </w:rPr>
              <w:t>Investment</w:t>
            </w:r>
          </w:p>
        </w:tc>
        <w:tc>
          <w:tcPr>
            <w:tcW w:w="3137" w:type="dxa"/>
            <w:vAlign w:val="center"/>
          </w:tcPr>
          <w:p w14:paraId="6B749119" w14:textId="3FBEF17E" w:rsidR="00275BA1" w:rsidRPr="00481464" w:rsidRDefault="00275BA1" w:rsidP="002B0627">
            <w:pPr>
              <w:spacing w:after="0"/>
              <w:rPr>
                <w:sz w:val="18"/>
                <w:szCs w:val="18"/>
              </w:rPr>
            </w:pPr>
          </w:p>
        </w:tc>
        <w:tc>
          <w:tcPr>
            <w:tcW w:w="3137" w:type="dxa"/>
            <w:shd w:val="clear" w:color="auto" w:fill="E5B8B7" w:themeFill="accent2" w:themeFillTint="66"/>
            <w:vAlign w:val="center"/>
          </w:tcPr>
          <w:p w14:paraId="71EF5072" w14:textId="77777777" w:rsidR="00275BA1" w:rsidRPr="00481464" w:rsidRDefault="00275BA1" w:rsidP="002B0627">
            <w:pPr>
              <w:spacing w:after="0"/>
              <w:rPr>
                <w:b/>
                <w:bCs/>
                <w:sz w:val="18"/>
                <w:szCs w:val="18"/>
              </w:rPr>
            </w:pPr>
            <w:r w:rsidRPr="00481464">
              <w:rPr>
                <w:b/>
                <w:bCs/>
                <w:sz w:val="18"/>
                <w:szCs w:val="18"/>
              </w:rPr>
              <w:t>Board</w:t>
            </w:r>
          </w:p>
        </w:tc>
        <w:tc>
          <w:tcPr>
            <w:tcW w:w="3137" w:type="dxa"/>
            <w:shd w:val="clear" w:color="auto" w:fill="B6DDE8" w:themeFill="accent5" w:themeFillTint="66"/>
            <w:vAlign w:val="center"/>
          </w:tcPr>
          <w:p w14:paraId="04EE1E47" w14:textId="77777777" w:rsidR="00275BA1" w:rsidRPr="00481464" w:rsidRDefault="00275BA1" w:rsidP="002B0627">
            <w:pPr>
              <w:spacing w:after="0"/>
              <w:rPr>
                <w:b/>
                <w:bCs/>
                <w:sz w:val="18"/>
                <w:szCs w:val="18"/>
              </w:rPr>
            </w:pPr>
            <w:r w:rsidRPr="00481464">
              <w:rPr>
                <w:b/>
                <w:bCs/>
                <w:sz w:val="18"/>
                <w:szCs w:val="18"/>
              </w:rPr>
              <w:t>Level 1</w:t>
            </w:r>
          </w:p>
        </w:tc>
        <w:tc>
          <w:tcPr>
            <w:tcW w:w="3137" w:type="dxa"/>
            <w:shd w:val="clear" w:color="auto" w:fill="D6E3BC" w:themeFill="accent3" w:themeFillTint="66"/>
            <w:vAlign w:val="center"/>
          </w:tcPr>
          <w:p w14:paraId="3E0C3CD2" w14:textId="77777777" w:rsidR="00275BA1" w:rsidRPr="00481464" w:rsidRDefault="00275BA1" w:rsidP="002B0627">
            <w:pPr>
              <w:spacing w:after="0"/>
              <w:rPr>
                <w:b/>
                <w:bCs/>
                <w:sz w:val="18"/>
                <w:szCs w:val="18"/>
              </w:rPr>
            </w:pPr>
            <w:r w:rsidRPr="00481464">
              <w:rPr>
                <w:b/>
                <w:bCs/>
                <w:sz w:val="18"/>
                <w:szCs w:val="18"/>
              </w:rPr>
              <w:t>Level 2</w:t>
            </w:r>
          </w:p>
        </w:tc>
      </w:tr>
      <w:tr w:rsidR="00275BA1" w14:paraId="2B9C48E6" w14:textId="77777777" w:rsidTr="00481464">
        <w:trPr>
          <w:jc w:val="center"/>
        </w:trPr>
        <w:tc>
          <w:tcPr>
            <w:tcW w:w="3000" w:type="dxa"/>
            <w:vMerge/>
            <w:shd w:val="clear" w:color="auto" w:fill="F2F2F2" w:themeFill="background1" w:themeFillShade="F2"/>
            <w:vAlign w:val="center"/>
          </w:tcPr>
          <w:p w14:paraId="10811DB5" w14:textId="77777777" w:rsidR="00275BA1" w:rsidRPr="00481464" w:rsidRDefault="00275BA1" w:rsidP="002B0627">
            <w:pPr>
              <w:spacing w:after="0"/>
              <w:rPr>
                <w:sz w:val="18"/>
                <w:szCs w:val="18"/>
              </w:rPr>
            </w:pPr>
          </w:p>
        </w:tc>
        <w:tc>
          <w:tcPr>
            <w:tcW w:w="3137" w:type="dxa"/>
            <w:vAlign w:val="center"/>
          </w:tcPr>
          <w:p w14:paraId="445D74CE" w14:textId="0C3A574A" w:rsidR="00275BA1" w:rsidRPr="00481464" w:rsidRDefault="00275BA1" w:rsidP="002B0627">
            <w:pPr>
              <w:spacing w:after="0"/>
              <w:rPr>
                <w:sz w:val="18"/>
                <w:szCs w:val="18"/>
              </w:rPr>
            </w:pPr>
            <w:r w:rsidRPr="00481464">
              <w:rPr>
                <w:sz w:val="18"/>
                <w:szCs w:val="18"/>
              </w:rPr>
              <w:t xml:space="preserve">Leases – operating or finance, </w:t>
            </w:r>
            <w:proofErr w:type="gramStart"/>
            <w:r w:rsidRPr="00481464">
              <w:rPr>
                <w:sz w:val="18"/>
                <w:szCs w:val="18"/>
              </w:rPr>
              <w:t>land</w:t>
            </w:r>
            <w:proofErr w:type="gramEnd"/>
            <w:r w:rsidRPr="00481464">
              <w:rPr>
                <w:sz w:val="18"/>
                <w:szCs w:val="18"/>
              </w:rPr>
              <w:t xml:space="preserve"> or premises</w:t>
            </w:r>
          </w:p>
        </w:tc>
        <w:tc>
          <w:tcPr>
            <w:tcW w:w="3137" w:type="dxa"/>
            <w:vAlign w:val="center"/>
          </w:tcPr>
          <w:p w14:paraId="5056EAB0" w14:textId="77777777" w:rsidR="00275BA1" w:rsidRPr="00481464" w:rsidRDefault="00275BA1" w:rsidP="002B0627">
            <w:pPr>
              <w:spacing w:after="0"/>
              <w:rPr>
                <w:sz w:val="18"/>
                <w:szCs w:val="18"/>
              </w:rPr>
            </w:pPr>
            <w:r w:rsidRPr="00481464">
              <w:rPr>
                <w:sz w:val="18"/>
                <w:szCs w:val="18"/>
              </w:rPr>
              <w:t>Unlimited</w:t>
            </w:r>
          </w:p>
        </w:tc>
        <w:tc>
          <w:tcPr>
            <w:tcW w:w="3137" w:type="dxa"/>
            <w:vAlign w:val="center"/>
          </w:tcPr>
          <w:p w14:paraId="31763256" w14:textId="15C3C794" w:rsidR="00275BA1" w:rsidRPr="00481464" w:rsidRDefault="00FB5587" w:rsidP="002B0627">
            <w:pPr>
              <w:spacing w:after="0"/>
              <w:rPr>
                <w:sz w:val="18"/>
                <w:szCs w:val="18"/>
              </w:rPr>
            </w:pPr>
            <w:r w:rsidRPr="00481464">
              <w:rPr>
                <w:sz w:val="18"/>
                <w:szCs w:val="18"/>
              </w:rPr>
              <w:t>Office equipment</w:t>
            </w:r>
          </w:p>
        </w:tc>
        <w:tc>
          <w:tcPr>
            <w:tcW w:w="3137" w:type="dxa"/>
            <w:vAlign w:val="center"/>
          </w:tcPr>
          <w:p w14:paraId="1E75E343" w14:textId="3E9ECEA0" w:rsidR="00275BA1" w:rsidRPr="00481464" w:rsidRDefault="00FB5587" w:rsidP="002B0627">
            <w:pPr>
              <w:spacing w:after="0"/>
              <w:rPr>
                <w:sz w:val="18"/>
                <w:szCs w:val="18"/>
              </w:rPr>
            </w:pPr>
            <w:r w:rsidRPr="00481464">
              <w:rPr>
                <w:sz w:val="18"/>
                <w:szCs w:val="18"/>
              </w:rPr>
              <w:t>-</w:t>
            </w:r>
          </w:p>
        </w:tc>
      </w:tr>
      <w:tr w:rsidR="009E1531" w14:paraId="5BA6C668" w14:textId="77777777" w:rsidTr="00481464">
        <w:trPr>
          <w:jc w:val="center"/>
        </w:trPr>
        <w:tc>
          <w:tcPr>
            <w:tcW w:w="3000" w:type="dxa"/>
            <w:vMerge/>
            <w:shd w:val="clear" w:color="auto" w:fill="F2F2F2" w:themeFill="background1" w:themeFillShade="F2"/>
            <w:vAlign w:val="center"/>
          </w:tcPr>
          <w:p w14:paraId="629355E8" w14:textId="77777777" w:rsidR="009E1531" w:rsidRPr="00481464" w:rsidRDefault="009E1531" w:rsidP="009E1531">
            <w:pPr>
              <w:spacing w:after="0"/>
              <w:rPr>
                <w:sz w:val="18"/>
                <w:szCs w:val="18"/>
              </w:rPr>
            </w:pPr>
          </w:p>
        </w:tc>
        <w:tc>
          <w:tcPr>
            <w:tcW w:w="3137" w:type="dxa"/>
            <w:vAlign w:val="center"/>
          </w:tcPr>
          <w:p w14:paraId="49539BD1" w14:textId="698191AE" w:rsidR="009E1531" w:rsidRPr="00481464" w:rsidRDefault="009E1531" w:rsidP="009E1531">
            <w:pPr>
              <w:spacing w:after="0"/>
              <w:rPr>
                <w:sz w:val="18"/>
                <w:szCs w:val="18"/>
              </w:rPr>
            </w:pPr>
            <w:r w:rsidRPr="00481464">
              <w:rPr>
                <w:sz w:val="18"/>
                <w:szCs w:val="18"/>
              </w:rPr>
              <w:t>Within Board-approved Capital Budget</w:t>
            </w:r>
          </w:p>
        </w:tc>
        <w:tc>
          <w:tcPr>
            <w:tcW w:w="3137" w:type="dxa"/>
            <w:vAlign w:val="center"/>
          </w:tcPr>
          <w:p w14:paraId="278D8867" w14:textId="1A68664A" w:rsidR="009E1531" w:rsidRPr="00481464" w:rsidRDefault="009E1531" w:rsidP="009E1531">
            <w:pPr>
              <w:spacing w:after="0"/>
              <w:rPr>
                <w:sz w:val="18"/>
                <w:szCs w:val="18"/>
              </w:rPr>
            </w:pPr>
            <w:r w:rsidRPr="00481464">
              <w:rPr>
                <w:sz w:val="18"/>
                <w:szCs w:val="18"/>
              </w:rPr>
              <w:t>Unlimited</w:t>
            </w:r>
          </w:p>
        </w:tc>
        <w:tc>
          <w:tcPr>
            <w:tcW w:w="3137" w:type="dxa"/>
            <w:vAlign w:val="center"/>
          </w:tcPr>
          <w:p w14:paraId="7BB6AB56" w14:textId="1DBEDA23" w:rsidR="009E1531" w:rsidRPr="00481464" w:rsidRDefault="00FB5587" w:rsidP="009E1531">
            <w:pPr>
              <w:spacing w:after="0"/>
              <w:rPr>
                <w:sz w:val="18"/>
                <w:szCs w:val="18"/>
              </w:rPr>
            </w:pPr>
            <w:r w:rsidRPr="00481464">
              <w:rPr>
                <w:sz w:val="18"/>
                <w:szCs w:val="18"/>
              </w:rPr>
              <w:t>Unlimited</w:t>
            </w:r>
          </w:p>
        </w:tc>
        <w:tc>
          <w:tcPr>
            <w:tcW w:w="3137" w:type="dxa"/>
            <w:vAlign w:val="center"/>
          </w:tcPr>
          <w:p w14:paraId="29D7ECDE" w14:textId="3DC3422A" w:rsidR="009E1531" w:rsidRPr="00481464" w:rsidRDefault="00FB5587" w:rsidP="009E1531">
            <w:pPr>
              <w:spacing w:after="0"/>
              <w:rPr>
                <w:sz w:val="18"/>
                <w:szCs w:val="18"/>
              </w:rPr>
            </w:pPr>
            <w:r w:rsidRPr="00481464">
              <w:rPr>
                <w:sz w:val="18"/>
                <w:szCs w:val="18"/>
              </w:rPr>
              <w:t>-</w:t>
            </w:r>
          </w:p>
        </w:tc>
      </w:tr>
      <w:tr w:rsidR="009E1531" w14:paraId="2F4C358E" w14:textId="77777777" w:rsidTr="00481464">
        <w:trPr>
          <w:jc w:val="center"/>
        </w:trPr>
        <w:tc>
          <w:tcPr>
            <w:tcW w:w="3000" w:type="dxa"/>
            <w:vMerge/>
            <w:shd w:val="clear" w:color="auto" w:fill="F2F2F2" w:themeFill="background1" w:themeFillShade="F2"/>
            <w:vAlign w:val="center"/>
          </w:tcPr>
          <w:p w14:paraId="25A564F1" w14:textId="77777777" w:rsidR="009E1531" w:rsidRPr="00481464" w:rsidRDefault="009E1531" w:rsidP="009E1531">
            <w:pPr>
              <w:spacing w:after="0"/>
              <w:rPr>
                <w:sz w:val="18"/>
                <w:szCs w:val="18"/>
              </w:rPr>
            </w:pPr>
          </w:p>
        </w:tc>
        <w:tc>
          <w:tcPr>
            <w:tcW w:w="3137" w:type="dxa"/>
            <w:vAlign w:val="center"/>
          </w:tcPr>
          <w:p w14:paraId="551E2CAB" w14:textId="5AFC81B5" w:rsidR="009E1531" w:rsidRPr="00481464" w:rsidRDefault="009E1531" w:rsidP="009E1531">
            <w:pPr>
              <w:spacing w:after="0"/>
              <w:rPr>
                <w:sz w:val="18"/>
                <w:szCs w:val="18"/>
              </w:rPr>
            </w:pPr>
            <w:r w:rsidRPr="00481464">
              <w:rPr>
                <w:sz w:val="18"/>
                <w:szCs w:val="18"/>
              </w:rPr>
              <w:t>Above Board-approved Capital Budget</w:t>
            </w:r>
          </w:p>
        </w:tc>
        <w:tc>
          <w:tcPr>
            <w:tcW w:w="3137" w:type="dxa"/>
            <w:vAlign w:val="center"/>
          </w:tcPr>
          <w:p w14:paraId="01A48207" w14:textId="687BFF7E" w:rsidR="009E1531" w:rsidRPr="00481464" w:rsidRDefault="009E1531" w:rsidP="009E1531">
            <w:pPr>
              <w:spacing w:after="0"/>
              <w:rPr>
                <w:sz w:val="18"/>
                <w:szCs w:val="18"/>
              </w:rPr>
            </w:pPr>
            <w:r w:rsidRPr="00481464">
              <w:rPr>
                <w:sz w:val="18"/>
                <w:szCs w:val="18"/>
              </w:rPr>
              <w:t>Unlimited</w:t>
            </w:r>
          </w:p>
        </w:tc>
        <w:tc>
          <w:tcPr>
            <w:tcW w:w="3137" w:type="dxa"/>
            <w:vAlign w:val="center"/>
          </w:tcPr>
          <w:p w14:paraId="1F1CFB38" w14:textId="7C5231B6" w:rsidR="009E1531" w:rsidRPr="00481464" w:rsidRDefault="009E1531" w:rsidP="009E1531">
            <w:pPr>
              <w:spacing w:after="0"/>
              <w:rPr>
                <w:sz w:val="18"/>
                <w:szCs w:val="18"/>
              </w:rPr>
            </w:pPr>
            <w:r w:rsidRPr="00481464">
              <w:rPr>
                <w:sz w:val="18"/>
                <w:szCs w:val="18"/>
              </w:rPr>
              <w:t>&lt;$5</w:t>
            </w:r>
            <w:r w:rsidR="00FB5587" w:rsidRPr="00481464">
              <w:rPr>
                <w:sz w:val="18"/>
                <w:szCs w:val="18"/>
              </w:rPr>
              <w:t>,</w:t>
            </w:r>
            <w:r w:rsidRPr="00481464">
              <w:rPr>
                <w:sz w:val="18"/>
                <w:szCs w:val="18"/>
              </w:rPr>
              <w:t>000</w:t>
            </w:r>
            <w:r w:rsidR="00FB5587" w:rsidRPr="00481464">
              <w:rPr>
                <w:sz w:val="18"/>
                <w:szCs w:val="18"/>
              </w:rPr>
              <w:t xml:space="preserve"> per transaction</w:t>
            </w:r>
          </w:p>
        </w:tc>
        <w:tc>
          <w:tcPr>
            <w:tcW w:w="3137" w:type="dxa"/>
            <w:vAlign w:val="center"/>
          </w:tcPr>
          <w:p w14:paraId="35DE616C" w14:textId="2C668CF4" w:rsidR="009E1531" w:rsidRPr="00481464" w:rsidRDefault="00E27280" w:rsidP="009E1531">
            <w:pPr>
              <w:spacing w:after="0"/>
              <w:rPr>
                <w:sz w:val="18"/>
                <w:szCs w:val="18"/>
              </w:rPr>
            </w:pPr>
            <w:r w:rsidRPr="00481464">
              <w:rPr>
                <w:sz w:val="18"/>
                <w:szCs w:val="18"/>
              </w:rPr>
              <w:t>-</w:t>
            </w:r>
          </w:p>
        </w:tc>
      </w:tr>
      <w:tr w:rsidR="00220F65" w14:paraId="6A73E1E4" w14:textId="77777777" w:rsidTr="00481464">
        <w:trPr>
          <w:jc w:val="center"/>
        </w:trPr>
        <w:tc>
          <w:tcPr>
            <w:tcW w:w="3000" w:type="dxa"/>
            <w:vMerge w:val="restart"/>
            <w:shd w:val="clear" w:color="auto" w:fill="F2F2F2" w:themeFill="background1" w:themeFillShade="F2"/>
            <w:vAlign w:val="center"/>
          </w:tcPr>
          <w:p w14:paraId="5AEBC95F" w14:textId="57555638" w:rsidR="00220F65" w:rsidRPr="00481464" w:rsidRDefault="00220F65" w:rsidP="00220F65">
            <w:pPr>
              <w:spacing w:after="0"/>
              <w:rPr>
                <w:b/>
                <w:bCs/>
                <w:sz w:val="18"/>
                <w:szCs w:val="18"/>
              </w:rPr>
            </w:pPr>
            <w:r w:rsidRPr="00481464">
              <w:rPr>
                <w:b/>
                <w:bCs/>
                <w:sz w:val="18"/>
                <w:szCs w:val="18"/>
              </w:rPr>
              <w:t>Revenue</w:t>
            </w:r>
          </w:p>
        </w:tc>
        <w:tc>
          <w:tcPr>
            <w:tcW w:w="3137" w:type="dxa"/>
            <w:vAlign w:val="center"/>
          </w:tcPr>
          <w:p w14:paraId="229926AB" w14:textId="61787653" w:rsidR="00220F65" w:rsidRPr="00481464" w:rsidRDefault="00A51E2F" w:rsidP="002B0627">
            <w:pPr>
              <w:spacing w:after="0"/>
              <w:rPr>
                <w:sz w:val="18"/>
                <w:szCs w:val="18"/>
              </w:rPr>
            </w:pPr>
            <w:r w:rsidRPr="00481464">
              <w:rPr>
                <w:sz w:val="18"/>
                <w:szCs w:val="18"/>
              </w:rPr>
              <w:t>Revenue Contracts with existing stakeholders</w:t>
            </w:r>
          </w:p>
        </w:tc>
        <w:tc>
          <w:tcPr>
            <w:tcW w:w="3137" w:type="dxa"/>
            <w:vAlign w:val="center"/>
          </w:tcPr>
          <w:p w14:paraId="686D29D6" w14:textId="78BFEB62" w:rsidR="00220F65" w:rsidRPr="00481464" w:rsidRDefault="00624E04" w:rsidP="002B0627">
            <w:pPr>
              <w:spacing w:after="0"/>
              <w:rPr>
                <w:sz w:val="18"/>
                <w:szCs w:val="18"/>
              </w:rPr>
            </w:pPr>
            <w:r w:rsidRPr="00481464">
              <w:rPr>
                <w:sz w:val="18"/>
                <w:szCs w:val="18"/>
              </w:rPr>
              <w:t>Unlimited</w:t>
            </w:r>
          </w:p>
        </w:tc>
        <w:tc>
          <w:tcPr>
            <w:tcW w:w="3137" w:type="dxa"/>
            <w:vAlign w:val="center"/>
          </w:tcPr>
          <w:p w14:paraId="3EEAEE07" w14:textId="0B27ABDD" w:rsidR="00220F65" w:rsidRPr="00481464" w:rsidRDefault="00624E04" w:rsidP="002B0627">
            <w:pPr>
              <w:spacing w:after="0"/>
              <w:rPr>
                <w:sz w:val="18"/>
                <w:szCs w:val="18"/>
              </w:rPr>
            </w:pPr>
            <w:r w:rsidRPr="00481464">
              <w:rPr>
                <w:sz w:val="18"/>
                <w:szCs w:val="18"/>
              </w:rPr>
              <w:t>&lt;$300,000 per annum per contract</w:t>
            </w:r>
          </w:p>
        </w:tc>
        <w:tc>
          <w:tcPr>
            <w:tcW w:w="3137" w:type="dxa"/>
            <w:vAlign w:val="center"/>
          </w:tcPr>
          <w:p w14:paraId="55BA62FA" w14:textId="6997EABB" w:rsidR="00220F65" w:rsidRPr="00481464" w:rsidRDefault="00624E04" w:rsidP="002B0627">
            <w:pPr>
              <w:spacing w:after="0"/>
              <w:rPr>
                <w:sz w:val="18"/>
                <w:szCs w:val="18"/>
              </w:rPr>
            </w:pPr>
            <w:r w:rsidRPr="00481464">
              <w:rPr>
                <w:sz w:val="18"/>
                <w:szCs w:val="18"/>
              </w:rPr>
              <w:t>-</w:t>
            </w:r>
          </w:p>
        </w:tc>
      </w:tr>
      <w:tr w:rsidR="009E1531" w14:paraId="045C2EF1" w14:textId="77777777" w:rsidTr="00481464">
        <w:trPr>
          <w:jc w:val="center"/>
        </w:trPr>
        <w:tc>
          <w:tcPr>
            <w:tcW w:w="3000" w:type="dxa"/>
            <w:vMerge/>
            <w:shd w:val="clear" w:color="auto" w:fill="F2F2F2" w:themeFill="background1" w:themeFillShade="F2"/>
            <w:vAlign w:val="center"/>
          </w:tcPr>
          <w:p w14:paraId="5E746FC2" w14:textId="77777777" w:rsidR="009E1531" w:rsidRPr="00481464" w:rsidRDefault="009E1531" w:rsidP="009E1531">
            <w:pPr>
              <w:spacing w:after="0"/>
              <w:rPr>
                <w:sz w:val="18"/>
                <w:szCs w:val="18"/>
              </w:rPr>
            </w:pPr>
          </w:p>
        </w:tc>
        <w:tc>
          <w:tcPr>
            <w:tcW w:w="3137" w:type="dxa"/>
            <w:vAlign w:val="center"/>
          </w:tcPr>
          <w:p w14:paraId="33F05F9C" w14:textId="304687C8" w:rsidR="009E1531" w:rsidRPr="00481464" w:rsidRDefault="00624E04" w:rsidP="009E1531">
            <w:pPr>
              <w:spacing w:after="0"/>
              <w:rPr>
                <w:sz w:val="18"/>
                <w:szCs w:val="18"/>
              </w:rPr>
            </w:pPr>
            <w:r w:rsidRPr="00481464">
              <w:rPr>
                <w:sz w:val="18"/>
                <w:szCs w:val="18"/>
              </w:rPr>
              <w:t>Revenue Contracts with new stakeholders</w:t>
            </w:r>
          </w:p>
        </w:tc>
        <w:tc>
          <w:tcPr>
            <w:tcW w:w="3137" w:type="dxa"/>
            <w:vAlign w:val="center"/>
          </w:tcPr>
          <w:p w14:paraId="2790C05C" w14:textId="46CC4E6F" w:rsidR="009E1531" w:rsidRPr="00481464" w:rsidRDefault="009E1531" w:rsidP="009E1531">
            <w:pPr>
              <w:spacing w:after="0"/>
              <w:rPr>
                <w:sz w:val="18"/>
                <w:szCs w:val="18"/>
              </w:rPr>
            </w:pPr>
            <w:r w:rsidRPr="00481464">
              <w:rPr>
                <w:sz w:val="18"/>
                <w:szCs w:val="18"/>
              </w:rPr>
              <w:t>Unlimited</w:t>
            </w:r>
          </w:p>
        </w:tc>
        <w:tc>
          <w:tcPr>
            <w:tcW w:w="3137" w:type="dxa"/>
            <w:vAlign w:val="center"/>
          </w:tcPr>
          <w:p w14:paraId="77305758" w14:textId="587A956C" w:rsidR="009E1531" w:rsidRPr="00481464" w:rsidRDefault="00624E04" w:rsidP="009E1531">
            <w:pPr>
              <w:spacing w:after="0"/>
              <w:rPr>
                <w:sz w:val="18"/>
                <w:szCs w:val="18"/>
              </w:rPr>
            </w:pPr>
            <w:r w:rsidRPr="00481464">
              <w:rPr>
                <w:sz w:val="18"/>
                <w:szCs w:val="18"/>
              </w:rPr>
              <w:t>&lt;$150,000 per contract, subject to consultation with the Board</w:t>
            </w:r>
          </w:p>
        </w:tc>
        <w:tc>
          <w:tcPr>
            <w:tcW w:w="3137" w:type="dxa"/>
            <w:vAlign w:val="center"/>
          </w:tcPr>
          <w:p w14:paraId="1493C794" w14:textId="678DE86F" w:rsidR="009E1531" w:rsidRPr="00481464" w:rsidRDefault="00624E04" w:rsidP="009E1531">
            <w:pPr>
              <w:spacing w:after="0"/>
              <w:rPr>
                <w:sz w:val="18"/>
                <w:szCs w:val="18"/>
              </w:rPr>
            </w:pPr>
            <w:r w:rsidRPr="00481464">
              <w:rPr>
                <w:sz w:val="18"/>
                <w:szCs w:val="18"/>
              </w:rPr>
              <w:t>-</w:t>
            </w:r>
          </w:p>
        </w:tc>
      </w:tr>
    </w:tbl>
    <w:p w14:paraId="00890287" w14:textId="4CB66B1C" w:rsidR="00275BA1" w:rsidRDefault="00275BA1" w:rsidP="00FE60DB">
      <w:pPr>
        <w:spacing w:after="120"/>
      </w:pPr>
    </w:p>
    <w:tbl>
      <w:tblPr>
        <w:tblStyle w:val="TableGrid"/>
        <w:tblW w:w="0" w:type="auto"/>
        <w:jc w:val="center"/>
        <w:tblLook w:val="04A0" w:firstRow="1" w:lastRow="0" w:firstColumn="1" w:lastColumn="0" w:noHBand="0" w:noVBand="1"/>
      </w:tblPr>
      <w:tblGrid>
        <w:gridCol w:w="3000"/>
        <w:gridCol w:w="3137"/>
        <w:gridCol w:w="3137"/>
        <w:gridCol w:w="3137"/>
        <w:gridCol w:w="3137"/>
      </w:tblGrid>
      <w:tr w:rsidR="00624E04" w14:paraId="2605B127" w14:textId="77777777" w:rsidTr="00481464">
        <w:trPr>
          <w:jc w:val="center"/>
        </w:trPr>
        <w:tc>
          <w:tcPr>
            <w:tcW w:w="3000" w:type="dxa"/>
            <w:vMerge w:val="restart"/>
            <w:shd w:val="clear" w:color="auto" w:fill="F2F2F2" w:themeFill="background1" w:themeFillShade="F2"/>
            <w:vAlign w:val="center"/>
          </w:tcPr>
          <w:p w14:paraId="3356F9C0" w14:textId="3E750AA6" w:rsidR="00624E04" w:rsidRPr="00481464" w:rsidRDefault="000A5A9D" w:rsidP="002B0627">
            <w:pPr>
              <w:spacing w:after="0"/>
              <w:rPr>
                <w:b/>
                <w:bCs/>
                <w:sz w:val="18"/>
                <w:szCs w:val="18"/>
              </w:rPr>
            </w:pPr>
            <w:r w:rsidRPr="00481464">
              <w:rPr>
                <w:b/>
                <w:bCs/>
                <w:sz w:val="18"/>
                <w:szCs w:val="18"/>
              </w:rPr>
              <w:t>Sponsorships and donations</w:t>
            </w:r>
          </w:p>
        </w:tc>
        <w:tc>
          <w:tcPr>
            <w:tcW w:w="3137" w:type="dxa"/>
            <w:vAlign w:val="center"/>
          </w:tcPr>
          <w:p w14:paraId="2AB7F7D1" w14:textId="77777777" w:rsidR="00624E04" w:rsidRPr="00481464" w:rsidRDefault="00624E04" w:rsidP="002B0627">
            <w:pPr>
              <w:spacing w:after="0"/>
              <w:rPr>
                <w:sz w:val="18"/>
                <w:szCs w:val="18"/>
              </w:rPr>
            </w:pPr>
          </w:p>
        </w:tc>
        <w:tc>
          <w:tcPr>
            <w:tcW w:w="3137" w:type="dxa"/>
            <w:shd w:val="clear" w:color="auto" w:fill="E5B8B7" w:themeFill="accent2" w:themeFillTint="66"/>
            <w:vAlign w:val="center"/>
          </w:tcPr>
          <w:p w14:paraId="6EAAE830" w14:textId="77777777" w:rsidR="00624E04" w:rsidRPr="00481464" w:rsidRDefault="00624E04" w:rsidP="002B0627">
            <w:pPr>
              <w:spacing w:after="0"/>
              <w:rPr>
                <w:b/>
                <w:bCs/>
                <w:sz w:val="18"/>
                <w:szCs w:val="18"/>
              </w:rPr>
            </w:pPr>
            <w:r w:rsidRPr="00481464">
              <w:rPr>
                <w:b/>
                <w:bCs/>
                <w:sz w:val="18"/>
                <w:szCs w:val="18"/>
              </w:rPr>
              <w:t>Board</w:t>
            </w:r>
          </w:p>
        </w:tc>
        <w:tc>
          <w:tcPr>
            <w:tcW w:w="3137" w:type="dxa"/>
            <w:shd w:val="clear" w:color="auto" w:fill="B6DDE8" w:themeFill="accent5" w:themeFillTint="66"/>
            <w:vAlign w:val="center"/>
          </w:tcPr>
          <w:p w14:paraId="2D9A5C6B" w14:textId="77777777" w:rsidR="00624E04" w:rsidRPr="00481464" w:rsidRDefault="00624E04" w:rsidP="002B0627">
            <w:pPr>
              <w:spacing w:after="0"/>
              <w:rPr>
                <w:b/>
                <w:bCs/>
                <w:sz w:val="18"/>
                <w:szCs w:val="18"/>
              </w:rPr>
            </w:pPr>
            <w:r w:rsidRPr="00481464">
              <w:rPr>
                <w:b/>
                <w:bCs/>
                <w:sz w:val="18"/>
                <w:szCs w:val="18"/>
              </w:rPr>
              <w:t>Level 1</w:t>
            </w:r>
          </w:p>
        </w:tc>
        <w:tc>
          <w:tcPr>
            <w:tcW w:w="3137" w:type="dxa"/>
            <w:shd w:val="clear" w:color="auto" w:fill="D6E3BC" w:themeFill="accent3" w:themeFillTint="66"/>
            <w:vAlign w:val="center"/>
          </w:tcPr>
          <w:p w14:paraId="15D84CC4" w14:textId="77777777" w:rsidR="00624E04" w:rsidRPr="00481464" w:rsidRDefault="00624E04" w:rsidP="002B0627">
            <w:pPr>
              <w:spacing w:after="0"/>
              <w:rPr>
                <w:b/>
                <w:bCs/>
                <w:sz w:val="18"/>
                <w:szCs w:val="18"/>
              </w:rPr>
            </w:pPr>
            <w:r w:rsidRPr="00481464">
              <w:rPr>
                <w:b/>
                <w:bCs/>
                <w:sz w:val="18"/>
                <w:szCs w:val="18"/>
              </w:rPr>
              <w:t>Level 2</w:t>
            </w:r>
          </w:p>
        </w:tc>
      </w:tr>
      <w:tr w:rsidR="00624E04" w14:paraId="46613C56" w14:textId="77777777" w:rsidTr="00481464">
        <w:trPr>
          <w:jc w:val="center"/>
        </w:trPr>
        <w:tc>
          <w:tcPr>
            <w:tcW w:w="3000" w:type="dxa"/>
            <w:vMerge/>
            <w:shd w:val="clear" w:color="auto" w:fill="F2F2F2" w:themeFill="background1" w:themeFillShade="F2"/>
            <w:vAlign w:val="center"/>
          </w:tcPr>
          <w:p w14:paraId="4369F69D" w14:textId="77777777" w:rsidR="00624E04" w:rsidRPr="00481464" w:rsidRDefault="00624E04" w:rsidP="002B0627">
            <w:pPr>
              <w:spacing w:after="0"/>
              <w:rPr>
                <w:b/>
                <w:bCs/>
                <w:sz w:val="18"/>
                <w:szCs w:val="18"/>
              </w:rPr>
            </w:pPr>
          </w:p>
        </w:tc>
        <w:tc>
          <w:tcPr>
            <w:tcW w:w="3137" w:type="dxa"/>
            <w:vAlign w:val="center"/>
          </w:tcPr>
          <w:p w14:paraId="5326CFE2" w14:textId="4664D714" w:rsidR="00624E04" w:rsidRPr="00481464" w:rsidRDefault="000A5A9D" w:rsidP="002B0627">
            <w:pPr>
              <w:spacing w:after="0"/>
              <w:rPr>
                <w:sz w:val="18"/>
                <w:szCs w:val="18"/>
              </w:rPr>
            </w:pPr>
            <w:r w:rsidRPr="00481464">
              <w:rPr>
                <w:sz w:val="18"/>
                <w:szCs w:val="18"/>
              </w:rPr>
              <w:t>Sponsorships and donations</w:t>
            </w:r>
          </w:p>
        </w:tc>
        <w:tc>
          <w:tcPr>
            <w:tcW w:w="3137" w:type="dxa"/>
            <w:vAlign w:val="center"/>
          </w:tcPr>
          <w:p w14:paraId="1301EBB1" w14:textId="77777777" w:rsidR="00624E04" w:rsidRPr="00481464" w:rsidRDefault="00624E04" w:rsidP="002B0627">
            <w:pPr>
              <w:spacing w:after="0"/>
              <w:rPr>
                <w:sz w:val="18"/>
                <w:szCs w:val="18"/>
              </w:rPr>
            </w:pPr>
            <w:r w:rsidRPr="00481464">
              <w:rPr>
                <w:sz w:val="18"/>
                <w:szCs w:val="18"/>
              </w:rPr>
              <w:t>Unlimited</w:t>
            </w:r>
          </w:p>
        </w:tc>
        <w:tc>
          <w:tcPr>
            <w:tcW w:w="3137" w:type="dxa"/>
            <w:vAlign w:val="center"/>
          </w:tcPr>
          <w:p w14:paraId="4BBBAFEE" w14:textId="26896EC4" w:rsidR="00624E04" w:rsidRPr="00481464" w:rsidRDefault="000A5A9D" w:rsidP="002B0627">
            <w:pPr>
              <w:spacing w:after="0"/>
              <w:rPr>
                <w:sz w:val="18"/>
                <w:szCs w:val="18"/>
              </w:rPr>
            </w:pPr>
            <w:r w:rsidRPr="00481464">
              <w:rPr>
                <w:sz w:val="18"/>
                <w:szCs w:val="18"/>
              </w:rPr>
              <w:t>$300 pa</w:t>
            </w:r>
          </w:p>
        </w:tc>
        <w:tc>
          <w:tcPr>
            <w:tcW w:w="3137" w:type="dxa"/>
            <w:vAlign w:val="center"/>
          </w:tcPr>
          <w:p w14:paraId="7A591400" w14:textId="77777777" w:rsidR="00624E04" w:rsidRPr="00481464" w:rsidRDefault="00624E04" w:rsidP="002B0627">
            <w:pPr>
              <w:spacing w:after="0"/>
              <w:rPr>
                <w:sz w:val="18"/>
                <w:szCs w:val="18"/>
              </w:rPr>
            </w:pPr>
            <w:r w:rsidRPr="00481464">
              <w:rPr>
                <w:sz w:val="18"/>
                <w:szCs w:val="18"/>
              </w:rPr>
              <w:t>-</w:t>
            </w:r>
          </w:p>
        </w:tc>
      </w:tr>
      <w:tr w:rsidR="00624E04" w14:paraId="3AA578C6" w14:textId="77777777" w:rsidTr="00481464">
        <w:trPr>
          <w:jc w:val="center"/>
        </w:trPr>
        <w:tc>
          <w:tcPr>
            <w:tcW w:w="3000" w:type="dxa"/>
            <w:vMerge w:val="restart"/>
            <w:shd w:val="clear" w:color="auto" w:fill="F2F2F2" w:themeFill="background1" w:themeFillShade="F2"/>
            <w:vAlign w:val="center"/>
          </w:tcPr>
          <w:p w14:paraId="148A7439" w14:textId="139706EE" w:rsidR="00624E04" w:rsidRPr="00481464" w:rsidRDefault="00FA66E7" w:rsidP="002B0627">
            <w:pPr>
              <w:spacing w:after="0"/>
              <w:rPr>
                <w:b/>
                <w:bCs/>
                <w:sz w:val="18"/>
                <w:szCs w:val="18"/>
              </w:rPr>
            </w:pPr>
            <w:r w:rsidRPr="00481464">
              <w:rPr>
                <w:b/>
                <w:bCs/>
                <w:sz w:val="18"/>
                <w:szCs w:val="18"/>
              </w:rPr>
              <w:t>Assets and accounting</w:t>
            </w:r>
          </w:p>
        </w:tc>
        <w:tc>
          <w:tcPr>
            <w:tcW w:w="3137" w:type="dxa"/>
            <w:vAlign w:val="center"/>
          </w:tcPr>
          <w:p w14:paraId="1E996123" w14:textId="47C9FBDF" w:rsidR="00624E04" w:rsidRPr="00481464" w:rsidRDefault="00FA66E7" w:rsidP="002B0627">
            <w:pPr>
              <w:spacing w:after="0"/>
              <w:rPr>
                <w:sz w:val="18"/>
                <w:szCs w:val="18"/>
              </w:rPr>
            </w:pPr>
            <w:r w:rsidRPr="00481464">
              <w:rPr>
                <w:sz w:val="18"/>
                <w:szCs w:val="18"/>
              </w:rPr>
              <w:t>Asset impairments and write-ups / write-downs</w:t>
            </w:r>
          </w:p>
        </w:tc>
        <w:tc>
          <w:tcPr>
            <w:tcW w:w="3137" w:type="dxa"/>
            <w:vAlign w:val="center"/>
          </w:tcPr>
          <w:p w14:paraId="7D30388E" w14:textId="77777777" w:rsidR="00624E04" w:rsidRPr="00481464" w:rsidRDefault="00624E04" w:rsidP="002B0627">
            <w:pPr>
              <w:spacing w:after="0"/>
              <w:rPr>
                <w:sz w:val="18"/>
                <w:szCs w:val="18"/>
              </w:rPr>
            </w:pPr>
            <w:r w:rsidRPr="00481464">
              <w:rPr>
                <w:sz w:val="18"/>
                <w:szCs w:val="18"/>
              </w:rPr>
              <w:t>Unlimited</w:t>
            </w:r>
          </w:p>
        </w:tc>
        <w:tc>
          <w:tcPr>
            <w:tcW w:w="3137" w:type="dxa"/>
            <w:vAlign w:val="center"/>
          </w:tcPr>
          <w:p w14:paraId="3DF68C4F" w14:textId="2C046C66" w:rsidR="00624E04" w:rsidRPr="00481464" w:rsidRDefault="00FA66E7" w:rsidP="002B0627">
            <w:pPr>
              <w:spacing w:after="0"/>
              <w:rPr>
                <w:sz w:val="18"/>
                <w:szCs w:val="18"/>
              </w:rPr>
            </w:pPr>
            <w:r w:rsidRPr="00481464">
              <w:rPr>
                <w:sz w:val="18"/>
                <w:szCs w:val="18"/>
              </w:rPr>
              <w:t>$3000 per item</w:t>
            </w:r>
          </w:p>
        </w:tc>
        <w:tc>
          <w:tcPr>
            <w:tcW w:w="3137" w:type="dxa"/>
            <w:vAlign w:val="center"/>
          </w:tcPr>
          <w:p w14:paraId="36717BC1" w14:textId="77777777" w:rsidR="00624E04" w:rsidRPr="00481464" w:rsidRDefault="00624E04" w:rsidP="002B0627">
            <w:pPr>
              <w:spacing w:after="0"/>
              <w:rPr>
                <w:sz w:val="18"/>
                <w:szCs w:val="18"/>
              </w:rPr>
            </w:pPr>
            <w:r w:rsidRPr="00481464">
              <w:rPr>
                <w:sz w:val="18"/>
                <w:szCs w:val="18"/>
              </w:rPr>
              <w:t>-</w:t>
            </w:r>
          </w:p>
        </w:tc>
      </w:tr>
      <w:tr w:rsidR="00624E04" w14:paraId="0CE7FBF4" w14:textId="77777777" w:rsidTr="00481464">
        <w:trPr>
          <w:jc w:val="center"/>
        </w:trPr>
        <w:tc>
          <w:tcPr>
            <w:tcW w:w="3000" w:type="dxa"/>
            <w:vMerge/>
            <w:shd w:val="clear" w:color="auto" w:fill="F2F2F2" w:themeFill="background1" w:themeFillShade="F2"/>
            <w:vAlign w:val="center"/>
          </w:tcPr>
          <w:p w14:paraId="79171FB7" w14:textId="77777777" w:rsidR="00624E04" w:rsidRPr="00481464" w:rsidRDefault="00624E04" w:rsidP="002B0627">
            <w:pPr>
              <w:spacing w:after="0"/>
              <w:rPr>
                <w:sz w:val="18"/>
                <w:szCs w:val="18"/>
              </w:rPr>
            </w:pPr>
          </w:p>
        </w:tc>
        <w:tc>
          <w:tcPr>
            <w:tcW w:w="3137" w:type="dxa"/>
            <w:vAlign w:val="center"/>
          </w:tcPr>
          <w:p w14:paraId="07289CE1" w14:textId="20438280" w:rsidR="00624E04" w:rsidRPr="00481464" w:rsidRDefault="00FA66E7" w:rsidP="002B0627">
            <w:pPr>
              <w:spacing w:after="0"/>
              <w:rPr>
                <w:sz w:val="18"/>
                <w:szCs w:val="18"/>
              </w:rPr>
            </w:pPr>
            <w:r w:rsidRPr="00481464">
              <w:rPr>
                <w:sz w:val="18"/>
                <w:szCs w:val="18"/>
              </w:rPr>
              <w:t>Accounting journal</w:t>
            </w:r>
            <w:r w:rsidR="00A0706D" w:rsidRPr="00481464">
              <w:rPr>
                <w:sz w:val="18"/>
                <w:szCs w:val="18"/>
              </w:rPr>
              <w:t xml:space="preserve"> entries (approvals, prepayments, accruals, provisions &amp; other </w:t>
            </w:r>
            <w:r w:rsidR="00FE60DB" w:rsidRPr="00481464">
              <w:rPr>
                <w:sz w:val="18"/>
                <w:szCs w:val="18"/>
              </w:rPr>
              <w:t>adjustments)</w:t>
            </w:r>
          </w:p>
        </w:tc>
        <w:tc>
          <w:tcPr>
            <w:tcW w:w="3137" w:type="dxa"/>
            <w:vAlign w:val="center"/>
          </w:tcPr>
          <w:p w14:paraId="3C171EB5" w14:textId="77777777" w:rsidR="00624E04" w:rsidRPr="00481464" w:rsidRDefault="00624E04" w:rsidP="002B0627">
            <w:pPr>
              <w:spacing w:after="0"/>
              <w:rPr>
                <w:sz w:val="18"/>
                <w:szCs w:val="18"/>
              </w:rPr>
            </w:pPr>
            <w:r w:rsidRPr="00481464">
              <w:rPr>
                <w:sz w:val="18"/>
                <w:szCs w:val="18"/>
              </w:rPr>
              <w:t>Unlimited</w:t>
            </w:r>
          </w:p>
        </w:tc>
        <w:tc>
          <w:tcPr>
            <w:tcW w:w="3137" w:type="dxa"/>
            <w:vAlign w:val="center"/>
          </w:tcPr>
          <w:p w14:paraId="5E01DDB8" w14:textId="38CD0EA9" w:rsidR="00624E04" w:rsidRPr="00481464" w:rsidRDefault="00FE60DB" w:rsidP="002B0627">
            <w:pPr>
              <w:spacing w:after="0"/>
              <w:rPr>
                <w:sz w:val="18"/>
                <w:szCs w:val="18"/>
              </w:rPr>
            </w:pPr>
            <w:r w:rsidRPr="00481464">
              <w:rPr>
                <w:sz w:val="18"/>
                <w:szCs w:val="18"/>
              </w:rPr>
              <w:t>Unlimited within budget</w:t>
            </w:r>
          </w:p>
        </w:tc>
        <w:tc>
          <w:tcPr>
            <w:tcW w:w="3137" w:type="dxa"/>
            <w:vAlign w:val="center"/>
          </w:tcPr>
          <w:p w14:paraId="08A3BF21" w14:textId="77777777" w:rsidR="00624E04" w:rsidRPr="00481464" w:rsidRDefault="00624E04" w:rsidP="002B0627">
            <w:pPr>
              <w:spacing w:after="0"/>
              <w:rPr>
                <w:sz w:val="18"/>
                <w:szCs w:val="18"/>
              </w:rPr>
            </w:pPr>
            <w:r w:rsidRPr="00481464">
              <w:rPr>
                <w:sz w:val="18"/>
                <w:szCs w:val="18"/>
              </w:rPr>
              <w:t>-</w:t>
            </w:r>
          </w:p>
        </w:tc>
      </w:tr>
      <w:tr w:rsidR="001A52B1" w14:paraId="5E6F7253" w14:textId="77777777" w:rsidTr="00481464">
        <w:trPr>
          <w:jc w:val="center"/>
        </w:trPr>
        <w:tc>
          <w:tcPr>
            <w:tcW w:w="3000" w:type="dxa"/>
            <w:vMerge w:val="restart"/>
            <w:shd w:val="clear" w:color="auto" w:fill="F2F2F2" w:themeFill="background1" w:themeFillShade="F2"/>
            <w:vAlign w:val="center"/>
          </w:tcPr>
          <w:p w14:paraId="2AF98325" w14:textId="1CEB1299" w:rsidR="001A52B1" w:rsidRPr="00481464" w:rsidRDefault="001A52B1" w:rsidP="002B0627">
            <w:pPr>
              <w:spacing w:after="0"/>
              <w:rPr>
                <w:b/>
                <w:bCs/>
                <w:sz w:val="18"/>
                <w:szCs w:val="18"/>
              </w:rPr>
            </w:pPr>
            <w:r w:rsidRPr="00481464">
              <w:rPr>
                <w:b/>
                <w:bCs/>
                <w:sz w:val="18"/>
                <w:szCs w:val="18"/>
              </w:rPr>
              <w:t>Legal</w:t>
            </w:r>
          </w:p>
        </w:tc>
        <w:tc>
          <w:tcPr>
            <w:tcW w:w="3137" w:type="dxa"/>
            <w:vAlign w:val="center"/>
          </w:tcPr>
          <w:p w14:paraId="4128FCA8" w14:textId="77777777" w:rsidR="001A52B1" w:rsidRPr="00481464" w:rsidRDefault="001A52B1" w:rsidP="002B0627">
            <w:pPr>
              <w:spacing w:after="0"/>
              <w:rPr>
                <w:sz w:val="18"/>
                <w:szCs w:val="18"/>
              </w:rPr>
            </w:pPr>
          </w:p>
        </w:tc>
        <w:tc>
          <w:tcPr>
            <w:tcW w:w="3137" w:type="dxa"/>
            <w:shd w:val="clear" w:color="auto" w:fill="E5B8B7" w:themeFill="accent2" w:themeFillTint="66"/>
            <w:vAlign w:val="center"/>
          </w:tcPr>
          <w:p w14:paraId="5C71872E" w14:textId="77777777" w:rsidR="001A52B1" w:rsidRPr="00481464" w:rsidRDefault="001A52B1" w:rsidP="002B0627">
            <w:pPr>
              <w:spacing w:after="0"/>
              <w:rPr>
                <w:sz w:val="18"/>
                <w:szCs w:val="18"/>
              </w:rPr>
            </w:pPr>
            <w:r w:rsidRPr="00481464">
              <w:rPr>
                <w:sz w:val="18"/>
                <w:szCs w:val="18"/>
              </w:rPr>
              <w:t>Board</w:t>
            </w:r>
          </w:p>
        </w:tc>
        <w:tc>
          <w:tcPr>
            <w:tcW w:w="3137" w:type="dxa"/>
            <w:shd w:val="clear" w:color="auto" w:fill="B6DDE8" w:themeFill="accent5" w:themeFillTint="66"/>
            <w:vAlign w:val="center"/>
          </w:tcPr>
          <w:p w14:paraId="0A5BDADD" w14:textId="77777777" w:rsidR="001A52B1" w:rsidRPr="00481464" w:rsidRDefault="001A52B1" w:rsidP="002B0627">
            <w:pPr>
              <w:spacing w:after="0"/>
              <w:rPr>
                <w:sz w:val="18"/>
                <w:szCs w:val="18"/>
              </w:rPr>
            </w:pPr>
            <w:r w:rsidRPr="00481464">
              <w:rPr>
                <w:sz w:val="18"/>
                <w:szCs w:val="18"/>
              </w:rPr>
              <w:t>Level 1</w:t>
            </w:r>
          </w:p>
        </w:tc>
        <w:tc>
          <w:tcPr>
            <w:tcW w:w="3137" w:type="dxa"/>
            <w:shd w:val="clear" w:color="auto" w:fill="D6E3BC" w:themeFill="accent3" w:themeFillTint="66"/>
            <w:vAlign w:val="center"/>
          </w:tcPr>
          <w:p w14:paraId="00E7FA06" w14:textId="77777777" w:rsidR="001A52B1" w:rsidRPr="00481464" w:rsidRDefault="001A52B1" w:rsidP="002B0627">
            <w:pPr>
              <w:spacing w:after="0"/>
              <w:rPr>
                <w:sz w:val="18"/>
                <w:szCs w:val="18"/>
              </w:rPr>
            </w:pPr>
            <w:r w:rsidRPr="00481464">
              <w:rPr>
                <w:sz w:val="18"/>
                <w:szCs w:val="18"/>
              </w:rPr>
              <w:t>Level 2</w:t>
            </w:r>
          </w:p>
        </w:tc>
      </w:tr>
      <w:tr w:rsidR="001A52B1" w14:paraId="7E1EA0CC" w14:textId="77777777" w:rsidTr="00481464">
        <w:trPr>
          <w:jc w:val="center"/>
        </w:trPr>
        <w:tc>
          <w:tcPr>
            <w:tcW w:w="3000" w:type="dxa"/>
            <w:vMerge/>
            <w:shd w:val="clear" w:color="auto" w:fill="F2F2F2" w:themeFill="background1" w:themeFillShade="F2"/>
            <w:vAlign w:val="center"/>
          </w:tcPr>
          <w:p w14:paraId="7481B231" w14:textId="77777777" w:rsidR="001A52B1" w:rsidRPr="00481464" w:rsidRDefault="001A52B1" w:rsidP="002B0627">
            <w:pPr>
              <w:spacing w:after="0"/>
              <w:rPr>
                <w:sz w:val="18"/>
                <w:szCs w:val="18"/>
              </w:rPr>
            </w:pPr>
          </w:p>
        </w:tc>
        <w:tc>
          <w:tcPr>
            <w:tcW w:w="3137" w:type="dxa"/>
            <w:vAlign w:val="center"/>
          </w:tcPr>
          <w:p w14:paraId="2E9DF784" w14:textId="5E7A6DBC" w:rsidR="001A52B1" w:rsidRPr="00481464" w:rsidRDefault="001A52B1" w:rsidP="002B0627">
            <w:pPr>
              <w:spacing w:after="0"/>
              <w:rPr>
                <w:sz w:val="18"/>
                <w:szCs w:val="18"/>
              </w:rPr>
            </w:pPr>
            <w:r w:rsidRPr="00481464">
              <w:rPr>
                <w:sz w:val="18"/>
                <w:szCs w:val="18"/>
              </w:rPr>
              <w:t>Insurance claims &amp; settlements</w:t>
            </w:r>
          </w:p>
        </w:tc>
        <w:tc>
          <w:tcPr>
            <w:tcW w:w="3137" w:type="dxa"/>
            <w:vAlign w:val="center"/>
          </w:tcPr>
          <w:p w14:paraId="7D2D4436" w14:textId="77777777" w:rsidR="001A52B1" w:rsidRPr="00481464" w:rsidRDefault="001A52B1" w:rsidP="002B0627">
            <w:pPr>
              <w:spacing w:after="0"/>
              <w:rPr>
                <w:sz w:val="18"/>
                <w:szCs w:val="18"/>
              </w:rPr>
            </w:pPr>
            <w:r w:rsidRPr="00481464">
              <w:rPr>
                <w:sz w:val="18"/>
                <w:szCs w:val="18"/>
              </w:rPr>
              <w:t>Unlimited</w:t>
            </w:r>
          </w:p>
        </w:tc>
        <w:tc>
          <w:tcPr>
            <w:tcW w:w="3137" w:type="dxa"/>
            <w:vAlign w:val="center"/>
          </w:tcPr>
          <w:p w14:paraId="4C9ED3D6" w14:textId="0FA64D9A" w:rsidR="001A52B1" w:rsidRPr="00481464" w:rsidRDefault="001A52B1" w:rsidP="002B0627">
            <w:pPr>
              <w:spacing w:after="0"/>
              <w:rPr>
                <w:sz w:val="18"/>
                <w:szCs w:val="18"/>
              </w:rPr>
            </w:pPr>
            <w:r w:rsidRPr="00481464">
              <w:rPr>
                <w:sz w:val="18"/>
                <w:szCs w:val="18"/>
              </w:rPr>
              <w:t>$1,000</w:t>
            </w:r>
          </w:p>
        </w:tc>
        <w:tc>
          <w:tcPr>
            <w:tcW w:w="3137" w:type="dxa"/>
            <w:vAlign w:val="center"/>
          </w:tcPr>
          <w:p w14:paraId="04319B47" w14:textId="77777777" w:rsidR="001A52B1" w:rsidRPr="00481464" w:rsidRDefault="001A52B1" w:rsidP="002B0627">
            <w:pPr>
              <w:spacing w:after="0"/>
              <w:rPr>
                <w:sz w:val="18"/>
                <w:szCs w:val="18"/>
              </w:rPr>
            </w:pPr>
            <w:r w:rsidRPr="00481464">
              <w:rPr>
                <w:sz w:val="18"/>
                <w:szCs w:val="18"/>
              </w:rPr>
              <w:t>-</w:t>
            </w:r>
          </w:p>
        </w:tc>
      </w:tr>
      <w:tr w:rsidR="001A52B1" w14:paraId="2C6819CF" w14:textId="77777777" w:rsidTr="00481464">
        <w:trPr>
          <w:jc w:val="center"/>
        </w:trPr>
        <w:tc>
          <w:tcPr>
            <w:tcW w:w="3000" w:type="dxa"/>
            <w:vMerge/>
            <w:shd w:val="clear" w:color="auto" w:fill="F2F2F2" w:themeFill="background1" w:themeFillShade="F2"/>
            <w:vAlign w:val="center"/>
          </w:tcPr>
          <w:p w14:paraId="4533CC52" w14:textId="77777777" w:rsidR="001A52B1" w:rsidRDefault="001A52B1" w:rsidP="002B0627">
            <w:pPr>
              <w:spacing w:after="0"/>
            </w:pPr>
          </w:p>
        </w:tc>
        <w:tc>
          <w:tcPr>
            <w:tcW w:w="3137" w:type="dxa"/>
            <w:vAlign w:val="center"/>
          </w:tcPr>
          <w:p w14:paraId="6F324ED6" w14:textId="53FA1CB9" w:rsidR="001A52B1" w:rsidRPr="00481464" w:rsidRDefault="00EB4406" w:rsidP="002B0627">
            <w:pPr>
              <w:spacing w:after="0"/>
              <w:rPr>
                <w:sz w:val="18"/>
                <w:szCs w:val="18"/>
              </w:rPr>
            </w:pPr>
            <w:r w:rsidRPr="00481464">
              <w:rPr>
                <w:sz w:val="18"/>
                <w:szCs w:val="18"/>
              </w:rPr>
              <w:t xml:space="preserve">Litigation – commencement, </w:t>
            </w:r>
            <w:proofErr w:type="gramStart"/>
            <w:r w:rsidRPr="00481464">
              <w:rPr>
                <w:sz w:val="18"/>
                <w:szCs w:val="18"/>
              </w:rPr>
              <w:t>defence</w:t>
            </w:r>
            <w:proofErr w:type="gramEnd"/>
            <w:r w:rsidRPr="00481464">
              <w:rPr>
                <w:sz w:val="18"/>
                <w:szCs w:val="18"/>
              </w:rPr>
              <w:t xml:space="preserve"> or settlement of any proceeding(s)</w:t>
            </w:r>
          </w:p>
        </w:tc>
        <w:tc>
          <w:tcPr>
            <w:tcW w:w="3137" w:type="dxa"/>
            <w:vAlign w:val="center"/>
          </w:tcPr>
          <w:p w14:paraId="78075AE7" w14:textId="450702D6" w:rsidR="001A52B1" w:rsidRPr="00481464" w:rsidRDefault="00EB4406" w:rsidP="002B0627">
            <w:pPr>
              <w:spacing w:after="0"/>
              <w:rPr>
                <w:sz w:val="18"/>
                <w:szCs w:val="18"/>
              </w:rPr>
            </w:pPr>
            <w:r w:rsidRPr="00481464">
              <w:rPr>
                <w:sz w:val="18"/>
                <w:szCs w:val="18"/>
              </w:rPr>
              <w:t>Unlimited</w:t>
            </w:r>
          </w:p>
        </w:tc>
        <w:tc>
          <w:tcPr>
            <w:tcW w:w="3137" w:type="dxa"/>
            <w:vAlign w:val="center"/>
          </w:tcPr>
          <w:p w14:paraId="4D37572A" w14:textId="390493C0" w:rsidR="001A52B1" w:rsidRPr="00481464" w:rsidRDefault="00EB4406" w:rsidP="002B0627">
            <w:pPr>
              <w:spacing w:after="0"/>
              <w:rPr>
                <w:sz w:val="18"/>
                <w:szCs w:val="18"/>
              </w:rPr>
            </w:pPr>
            <w:r w:rsidRPr="00481464">
              <w:rPr>
                <w:sz w:val="18"/>
                <w:szCs w:val="18"/>
              </w:rPr>
              <w:t>-</w:t>
            </w:r>
          </w:p>
        </w:tc>
        <w:tc>
          <w:tcPr>
            <w:tcW w:w="3137" w:type="dxa"/>
            <w:vAlign w:val="center"/>
          </w:tcPr>
          <w:p w14:paraId="5F17BADA" w14:textId="7FA4F594" w:rsidR="001A52B1" w:rsidRPr="00481464" w:rsidRDefault="00EB4406" w:rsidP="002B0627">
            <w:pPr>
              <w:spacing w:after="0"/>
              <w:rPr>
                <w:sz w:val="18"/>
                <w:szCs w:val="18"/>
              </w:rPr>
            </w:pPr>
            <w:r w:rsidRPr="00481464">
              <w:rPr>
                <w:sz w:val="18"/>
                <w:szCs w:val="18"/>
              </w:rPr>
              <w:t>-</w:t>
            </w:r>
          </w:p>
        </w:tc>
      </w:tr>
      <w:tr w:rsidR="001B7BD0" w14:paraId="210B1B2C" w14:textId="77777777" w:rsidTr="00481464">
        <w:trPr>
          <w:jc w:val="center"/>
        </w:trPr>
        <w:tc>
          <w:tcPr>
            <w:tcW w:w="3000" w:type="dxa"/>
            <w:vMerge w:val="restart"/>
            <w:shd w:val="clear" w:color="auto" w:fill="F2F2F2" w:themeFill="background1" w:themeFillShade="F2"/>
            <w:vAlign w:val="center"/>
          </w:tcPr>
          <w:p w14:paraId="780BA02D" w14:textId="0E163EA4" w:rsidR="001B7BD0" w:rsidRPr="00481464" w:rsidRDefault="001B7BD0" w:rsidP="002B0627">
            <w:pPr>
              <w:spacing w:after="0"/>
              <w:rPr>
                <w:b/>
                <w:bCs/>
                <w:sz w:val="18"/>
                <w:szCs w:val="18"/>
              </w:rPr>
            </w:pPr>
            <w:r w:rsidRPr="00481464">
              <w:rPr>
                <w:b/>
                <w:bCs/>
                <w:sz w:val="18"/>
                <w:szCs w:val="18"/>
              </w:rPr>
              <w:t>Employment</w:t>
            </w:r>
          </w:p>
        </w:tc>
        <w:tc>
          <w:tcPr>
            <w:tcW w:w="3137" w:type="dxa"/>
            <w:vAlign w:val="center"/>
          </w:tcPr>
          <w:p w14:paraId="710CD81A" w14:textId="53D00909" w:rsidR="001B7BD0" w:rsidRPr="00481464" w:rsidRDefault="001B7BD0" w:rsidP="002B0627">
            <w:pPr>
              <w:spacing w:after="0"/>
              <w:rPr>
                <w:sz w:val="18"/>
                <w:szCs w:val="18"/>
              </w:rPr>
            </w:pPr>
            <w:r w:rsidRPr="00481464">
              <w:rPr>
                <w:sz w:val="18"/>
                <w:szCs w:val="18"/>
              </w:rPr>
              <w:t>Approval of new positions</w:t>
            </w:r>
          </w:p>
        </w:tc>
        <w:tc>
          <w:tcPr>
            <w:tcW w:w="3137" w:type="dxa"/>
            <w:vAlign w:val="center"/>
          </w:tcPr>
          <w:p w14:paraId="14CB6418" w14:textId="3B85366A" w:rsidR="001B7BD0" w:rsidRPr="00481464" w:rsidRDefault="001B7BD0" w:rsidP="002B0627">
            <w:pPr>
              <w:spacing w:after="0"/>
              <w:rPr>
                <w:sz w:val="18"/>
                <w:szCs w:val="18"/>
              </w:rPr>
            </w:pPr>
            <w:r w:rsidRPr="00481464">
              <w:rPr>
                <w:sz w:val="18"/>
                <w:szCs w:val="18"/>
              </w:rPr>
              <w:t>Consultation in respect of restructure</w:t>
            </w:r>
            <w:r w:rsidR="00D27795" w:rsidRPr="00481464">
              <w:rPr>
                <w:sz w:val="18"/>
                <w:szCs w:val="18"/>
              </w:rPr>
              <w:t>/s</w:t>
            </w:r>
          </w:p>
        </w:tc>
        <w:tc>
          <w:tcPr>
            <w:tcW w:w="3137" w:type="dxa"/>
            <w:vAlign w:val="center"/>
          </w:tcPr>
          <w:p w14:paraId="59CBAFEE" w14:textId="79E0CB9E" w:rsidR="001B7BD0" w:rsidRPr="00481464" w:rsidRDefault="00D27795" w:rsidP="002B0627">
            <w:pPr>
              <w:spacing w:after="0"/>
              <w:rPr>
                <w:sz w:val="18"/>
                <w:szCs w:val="18"/>
              </w:rPr>
            </w:pPr>
            <w:r w:rsidRPr="00481464">
              <w:rPr>
                <w:sz w:val="18"/>
                <w:szCs w:val="18"/>
              </w:rPr>
              <w:t>Yes, after consultation with the Board</w:t>
            </w:r>
          </w:p>
        </w:tc>
        <w:tc>
          <w:tcPr>
            <w:tcW w:w="3137" w:type="dxa"/>
            <w:vAlign w:val="center"/>
          </w:tcPr>
          <w:p w14:paraId="762914AD" w14:textId="77777777" w:rsidR="001B7BD0" w:rsidRPr="00481464" w:rsidRDefault="001B7BD0" w:rsidP="002B0627">
            <w:pPr>
              <w:spacing w:after="0"/>
              <w:rPr>
                <w:sz w:val="18"/>
                <w:szCs w:val="18"/>
              </w:rPr>
            </w:pPr>
            <w:r w:rsidRPr="00481464">
              <w:rPr>
                <w:sz w:val="18"/>
                <w:szCs w:val="18"/>
              </w:rPr>
              <w:t>-</w:t>
            </w:r>
          </w:p>
        </w:tc>
      </w:tr>
      <w:tr w:rsidR="001B7BD0" w14:paraId="3A417865" w14:textId="77777777" w:rsidTr="00481464">
        <w:trPr>
          <w:jc w:val="center"/>
        </w:trPr>
        <w:tc>
          <w:tcPr>
            <w:tcW w:w="3000" w:type="dxa"/>
            <w:vMerge/>
            <w:shd w:val="clear" w:color="auto" w:fill="F2F2F2" w:themeFill="background1" w:themeFillShade="F2"/>
            <w:vAlign w:val="center"/>
          </w:tcPr>
          <w:p w14:paraId="421E373C" w14:textId="77777777" w:rsidR="001B7BD0" w:rsidRPr="00481464" w:rsidRDefault="001B7BD0" w:rsidP="002B0627">
            <w:pPr>
              <w:spacing w:after="0"/>
              <w:rPr>
                <w:sz w:val="18"/>
                <w:szCs w:val="18"/>
              </w:rPr>
            </w:pPr>
          </w:p>
        </w:tc>
        <w:tc>
          <w:tcPr>
            <w:tcW w:w="3137" w:type="dxa"/>
            <w:vAlign w:val="center"/>
          </w:tcPr>
          <w:p w14:paraId="1C39C0E1" w14:textId="4B61C4E5" w:rsidR="001B7BD0" w:rsidRPr="00481464" w:rsidRDefault="00D27795" w:rsidP="002B0627">
            <w:pPr>
              <w:spacing w:after="0"/>
              <w:rPr>
                <w:sz w:val="18"/>
                <w:szCs w:val="18"/>
              </w:rPr>
            </w:pPr>
            <w:r w:rsidRPr="00481464">
              <w:rPr>
                <w:sz w:val="18"/>
                <w:szCs w:val="18"/>
              </w:rPr>
              <w:t>Appoint to existing roles</w:t>
            </w:r>
          </w:p>
        </w:tc>
        <w:tc>
          <w:tcPr>
            <w:tcW w:w="3137" w:type="dxa"/>
            <w:vAlign w:val="center"/>
          </w:tcPr>
          <w:p w14:paraId="6EA94789" w14:textId="74B9A5C0" w:rsidR="001B7BD0" w:rsidRPr="00481464" w:rsidRDefault="00D27795" w:rsidP="002B0627">
            <w:pPr>
              <w:spacing w:after="0"/>
              <w:rPr>
                <w:sz w:val="18"/>
                <w:szCs w:val="18"/>
              </w:rPr>
            </w:pPr>
            <w:r w:rsidRPr="00481464">
              <w:rPr>
                <w:sz w:val="18"/>
                <w:szCs w:val="18"/>
              </w:rPr>
              <w:t>Only applicable in respect of the Director</w:t>
            </w:r>
          </w:p>
        </w:tc>
        <w:tc>
          <w:tcPr>
            <w:tcW w:w="3137" w:type="dxa"/>
            <w:vAlign w:val="center"/>
          </w:tcPr>
          <w:p w14:paraId="6F2A3DC4" w14:textId="41ED1F74" w:rsidR="001B7BD0" w:rsidRPr="00481464" w:rsidRDefault="00D27795" w:rsidP="002B0627">
            <w:pPr>
              <w:spacing w:after="0"/>
              <w:rPr>
                <w:sz w:val="18"/>
                <w:szCs w:val="18"/>
              </w:rPr>
            </w:pPr>
            <w:r w:rsidRPr="00481464">
              <w:rPr>
                <w:sz w:val="18"/>
                <w:szCs w:val="18"/>
              </w:rPr>
              <w:t>Yes, after consultation with the Board</w:t>
            </w:r>
          </w:p>
        </w:tc>
        <w:tc>
          <w:tcPr>
            <w:tcW w:w="3137" w:type="dxa"/>
            <w:vAlign w:val="center"/>
          </w:tcPr>
          <w:p w14:paraId="429070BA" w14:textId="77777777" w:rsidR="001B7BD0" w:rsidRPr="00481464" w:rsidRDefault="001B7BD0" w:rsidP="002B0627">
            <w:pPr>
              <w:spacing w:after="0"/>
              <w:rPr>
                <w:sz w:val="18"/>
                <w:szCs w:val="18"/>
              </w:rPr>
            </w:pPr>
            <w:r w:rsidRPr="00481464">
              <w:rPr>
                <w:sz w:val="18"/>
                <w:szCs w:val="18"/>
              </w:rPr>
              <w:t>-</w:t>
            </w:r>
          </w:p>
        </w:tc>
      </w:tr>
      <w:tr w:rsidR="001B7BD0" w14:paraId="3FAFF53F" w14:textId="77777777" w:rsidTr="00481464">
        <w:trPr>
          <w:jc w:val="center"/>
        </w:trPr>
        <w:tc>
          <w:tcPr>
            <w:tcW w:w="3000" w:type="dxa"/>
            <w:vMerge/>
            <w:shd w:val="clear" w:color="auto" w:fill="F2F2F2" w:themeFill="background1" w:themeFillShade="F2"/>
            <w:vAlign w:val="center"/>
          </w:tcPr>
          <w:p w14:paraId="6998F347" w14:textId="77777777" w:rsidR="001B7BD0" w:rsidRPr="00481464" w:rsidRDefault="001B7BD0" w:rsidP="002B0627">
            <w:pPr>
              <w:spacing w:after="0"/>
              <w:rPr>
                <w:sz w:val="18"/>
                <w:szCs w:val="18"/>
              </w:rPr>
            </w:pPr>
          </w:p>
        </w:tc>
        <w:tc>
          <w:tcPr>
            <w:tcW w:w="3137" w:type="dxa"/>
            <w:vAlign w:val="center"/>
          </w:tcPr>
          <w:p w14:paraId="2BB9CF0C" w14:textId="03B4060E" w:rsidR="001B7BD0" w:rsidRPr="00481464" w:rsidRDefault="00D27795" w:rsidP="002B0627">
            <w:pPr>
              <w:spacing w:after="0"/>
              <w:rPr>
                <w:sz w:val="18"/>
                <w:szCs w:val="18"/>
              </w:rPr>
            </w:pPr>
            <w:r w:rsidRPr="00481464">
              <w:rPr>
                <w:sz w:val="18"/>
                <w:szCs w:val="18"/>
              </w:rPr>
              <w:t>Termination</w:t>
            </w:r>
          </w:p>
        </w:tc>
        <w:tc>
          <w:tcPr>
            <w:tcW w:w="3137" w:type="dxa"/>
            <w:vAlign w:val="center"/>
          </w:tcPr>
          <w:p w14:paraId="1248DA8D" w14:textId="51DEA910" w:rsidR="001B7BD0" w:rsidRPr="00481464" w:rsidRDefault="004F57A4" w:rsidP="002B0627">
            <w:pPr>
              <w:spacing w:after="0"/>
              <w:rPr>
                <w:sz w:val="18"/>
                <w:szCs w:val="18"/>
              </w:rPr>
            </w:pPr>
            <w:r w:rsidRPr="00481464">
              <w:rPr>
                <w:sz w:val="18"/>
                <w:szCs w:val="18"/>
              </w:rPr>
              <w:t>Only applicable in respect of the Director</w:t>
            </w:r>
          </w:p>
        </w:tc>
        <w:tc>
          <w:tcPr>
            <w:tcW w:w="3137" w:type="dxa"/>
            <w:vAlign w:val="center"/>
          </w:tcPr>
          <w:p w14:paraId="0FF508E0" w14:textId="6B6B7696" w:rsidR="001B7BD0" w:rsidRPr="00481464" w:rsidRDefault="004F57A4" w:rsidP="002B0627">
            <w:pPr>
              <w:spacing w:after="0"/>
              <w:rPr>
                <w:sz w:val="18"/>
                <w:szCs w:val="18"/>
              </w:rPr>
            </w:pPr>
            <w:r w:rsidRPr="00481464">
              <w:rPr>
                <w:sz w:val="18"/>
                <w:szCs w:val="18"/>
              </w:rPr>
              <w:t>Yes, after consultation with the Board</w:t>
            </w:r>
          </w:p>
        </w:tc>
        <w:tc>
          <w:tcPr>
            <w:tcW w:w="3137" w:type="dxa"/>
            <w:vAlign w:val="center"/>
          </w:tcPr>
          <w:p w14:paraId="46622EF3" w14:textId="77777777" w:rsidR="001B7BD0" w:rsidRPr="00481464" w:rsidRDefault="001B7BD0" w:rsidP="002B0627">
            <w:pPr>
              <w:spacing w:after="0"/>
              <w:rPr>
                <w:sz w:val="18"/>
                <w:szCs w:val="18"/>
              </w:rPr>
            </w:pPr>
          </w:p>
        </w:tc>
      </w:tr>
    </w:tbl>
    <w:p w14:paraId="5D2D80FE" w14:textId="29F5A01D" w:rsidR="00FE60DB" w:rsidRDefault="00FE60DB" w:rsidP="0012676B"/>
    <w:tbl>
      <w:tblPr>
        <w:tblStyle w:val="TableGrid"/>
        <w:tblW w:w="0" w:type="auto"/>
        <w:jc w:val="center"/>
        <w:tblLook w:val="04A0" w:firstRow="1" w:lastRow="0" w:firstColumn="1" w:lastColumn="0" w:noHBand="0" w:noVBand="1"/>
      </w:tblPr>
      <w:tblGrid>
        <w:gridCol w:w="3137"/>
        <w:gridCol w:w="1536"/>
        <w:gridCol w:w="5528"/>
        <w:gridCol w:w="5387"/>
      </w:tblGrid>
      <w:tr w:rsidR="004D622C" w:rsidRPr="00361D67" w14:paraId="0D7E759A" w14:textId="77777777" w:rsidTr="00AC0C78">
        <w:trPr>
          <w:jc w:val="center"/>
        </w:trPr>
        <w:tc>
          <w:tcPr>
            <w:tcW w:w="15588" w:type="dxa"/>
            <w:gridSpan w:val="4"/>
            <w:shd w:val="clear" w:color="auto" w:fill="F2F2F2" w:themeFill="background1" w:themeFillShade="F2"/>
            <w:vAlign w:val="center"/>
          </w:tcPr>
          <w:p w14:paraId="7527A8AA" w14:textId="39479A96" w:rsidR="004D622C" w:rsidRPr="00481464" w:rsidRDefault="004D622C" w:rsidP="004D622C">
            <w:pPr>
              <w:spacing w:after="0"/>
              <w:jc w:val="center"/>
              <w:rPr>
                <w:b/>
                <w:bCs/>
                <w:sz w:val="18"/>
                <w:szCs w:val="18"/>
              </w:rPr>
            </w:pPr>
            <w:r w:rsidRPr="00481464">
              <w:rPr>
                <w:b/>
                <w:bCs/>
                <w:sz w:val="18"/>
                <w:szCs w:val="18"/>
              </w:rPr>
              <w:t>Definitions</w:t>
            </w:r>
          </w:p>
        </w:tc>
      </w:tr>
      <w:tr w:rsidR="00AC0C78" w:rsidRPr="00361D67" w14:paraId="3B7304CC" w14:textId="77777777" w:rsidTr="00AC0C78">
        <w:trPr>
          <w:jc w:val="center"/>
        </w:trPr>
        <w:tc>
          <w:tcPr>
            <w:tcW w:w="4673" w:type="dxa"/>
            <w:gridSpan w:val="2"/>
            <w:shd w:val="clear" w:color="auto" w:fill="E5B8B7" w:themeFill="accent2" w:themeFillTint="66"/>
            <w:vAlign w:val="center"/>
          </w:tcPr>
          <w:p w14:paraId="15601F7B" w14:textId="77777777" w:rsidR="00AC0C78" w:rsidRPr="00481464" w:rsidRDefault="00AC0C78" w:rsidP="002B0627">
            <w:pPr>
              <w:spacing w:after="0"/>
              <w:rPr>
                <w:b/>
                <w:bCs/>
                <w:sz w:val="18"/>
                <w:szCs w:val="18"/>
              </w:rPr>
            </w:pPr>
            <w:r w:rsidRPr="00481464">
              <w:rPr>
                <w:b/>
                <w:bCs/>
                <w:sz w:val="18"/>
                <w:szCs w:val="18"/>
              </w:rPr>
              <w:t>Board</w:t>
            </w:r>
          </w:p>
        </w:tc>
        <w:tc>
          <w:tcPr>
            <w:tcW w:w="5528" w:type="dxa"/>
            <w:shd w:val="clear" w:color="auto" w:fill="B6DDE8" w:themeFill="accent5" w:themeFillTint="66"/>
            <w:vAlign w:val="center"/>
          </w:tcPr>
          <w:p w14:paraId="23A47F63" w14:textId="77777777" w:rsidR="00AC0C78" w:rsidRPr="00481464" w:rsidRDefault="00AC0C78" w:rsidP="002B0627">
            <w:pPr>
              <w:spacing w:after="0"/>
              <w:rPr>
                <w:b/>
                <w:bCs/>
                <w:sz w:val="18"/>
                <w:szCs w:val="18"/>
              </w:rPr>
            </w:pPr>
            <w:r w:rsidRPr="00481464">
              <w:rPr>
                <w:b/>
                <w:bCs/>
                <w:sz w:val="18"/>
                <w:szCs w:val="18"/>
              </w:rPr>
              <w:t>Level 1</w:t>
            </w:r>
          </w:p>
        </w:tc>
        <w:tc>
          <w:tcPr>
            <w:tcW w:w="5387" w:type="dxa"/>
            <w:shd w:val="clear" w:color="auto" w:fill="D6E3BC" w:themeFill="accent3" w:themeFillTint="66"/>
            <w:vAlign w:val="center"/>
          </w:tcPr>
          <w:p w14:paraId="78B7BA4D" w14:textId="77777777" w:rsidR="00AC0C78" w:rsidRPr="00481464" w:rsidRDefault="00AC0C78" w:rsidP="002B0627">
            <w:pPr>
              <w:spacing w:after="0"/>
              <w:rPr>
                <w:b/>
                <w:bCs/>
                <w:sz w:val="18"/>
                <w:szCs w:val="18"/>
              </w:rPr>
            </w:pPr>
            <w:r w:rsidRPr="00481464">
              <w:rPr>
                <w:b/>
                <w:bCs/>
                <w:sz w:val="18"/>
                <w:szCs w:val="18"/>
              </w:rPr>
              <w:t>Level 2</w:t>
            </w:r>
          </w:p>
        </w:tc>
      </w:tr>
      <w:tr w:rsidR="00AC0C78" w:rsidRPr="00361D67" w14:paraId="35B8D53F" w14:textId="77777777" w:rsidTr="00AC0C78">
        <w:trPr>
          <w:jc w:val="center"/>
        </w:trPr>
        <w:tc>
          <w:tcPr>
            <w:tcW w:w="4673" w:type="dxa"/>
            <w:gridSpan w:val="2"/>
            <w:vAlign w:val="center"/>
          </w:tcPr>
          <w:p w14:paraId="2BCB9B1C" w14:textId="45C0D55C" w:rsidR="00AC0C78" w:rsidRPr="00481464" w:rsidRDefault="00AC0C78" w:rsidP="002B0627">
            <w:pPr>
              <w:spacing w:after="0"/>
              <w:rPr>
                <w:sz w:val="18"/>
                <w:szCs w:val="18"/>
              </w:rPr>
            </w:pPr>
            <w:r w:rsidRPr="00481464">
              <w:rPr>
                <w:sz w:val="18"/>
                <w:szCs w:val="18"/>
              </w:rPr>
              <w:t>The Board of The Junction Clubhouse</w:t>
            </w:r>
          </w:p>
        </w:tc>
        <w:tc>
          <w:tcPr>
            <w:tcW w:w="5528" w:type="dxa"/>
            <w:vAlign w:val="center"/>
          </w:tcPr>
          <w:p w14:paraId="6546DFB3" w14:textId="77777777" w:rsidR="00AC0C78" w:rsidRPr="00481464" w:rsidRDefault="00AC0C78" w:rsidP="002B0627">
            <w:pPr>
              <w:spacing w:after="0"/>
              <w:rPr>
                <w:sz w:val="18"/>
                <w:szCs w:val="18"/>
              </w:rPr>
            </w:pPr>
            <w:r w:rsidRPr="00481464">
              <w:rPr>
                <w:sz w:val="18"/>
                <w:szCs w:val="18"/>
              </w:rPr>
              <w:t xml:space="preserve">Director </w:t>
            </w:r>
          </w:p>
          <w:p w14:paraId="3D0A3F96" w14:textId="48CA624A" w:rsidR="00AC0C78" w:rsidRPr="00481464" w:rsidRDefault="00AC0C78" w:rsidP="002B0627">
            <w:pPr>
              <w:spacing w:after="0"/>
              <w:rPr>
                <w:sz w:val="18"/>
                <w:szCs w:val="18"/>
              </w:rPr>
            </w:pPr>
            <w:r w:rsidRPr="00481464">
              <w:rPr>
                <w:sz w:val="18"/>
                <w:szCs w:val="18"/>
              </w:rPr>
              <w:t>(Board-appointed Executive Officer of The Junction Clubhouse)</w:t>
            </w:r>
          </w:p>
        </w:tc>
        <w:tc>
          <w:tcPr>
            <w:tcW w:w="5387" w:type="dxa"/>
            <w:vAlign w:val="center"/>
          </w:tcPr>
          <w:p w14:paraId="1815ED5C" w14:textId="77777777" w:rsidR="00AC0C78" w:rsidRPr="00481464" w:rsidRDefault="00AC0C78" w:rsidP="002B0627">
            <w:pPr>
              <w:spacing w:after="0"/>
              <w:rPr>
                <w:sz w:val="18"/>
                <w:szCs w:val="18"/>
              </w:rPr>
            </w:pPr>
            <w:r w:rsidRPr="00481464">
              <w:rPr>
                <w:sz w:val="18"/>
                <w:szCs w:val="18"/>
              </w:rPr>
              <w:t>Manager Operations &amp; Compliance</w:t>
            </w:r>
          </w:p>
          <w:p w14:paraId="4D721538" w14:textId="77777777" w:rsidR="00AC0C78" w:rsidRPr="00481464" w:rsidRDefault="00AC0C78" w:rsidP="002B0627">
            <w:pPr>
              <w:spacing w:after="0"/>
              <w:rPr>
                <w:sz w:val="18"/>
                <w:szCs w:val="18"/>
              </w:rPr>
            </w:pPr>
          </w:p>
          <w:p w14:paraId="428CA7D8" w14:textId="77777777" w:rsidR="00AC0C78" w:rsidRPr="00481464" w:rsidRDefault="00AC0C78" w:rsidP="002B0627">
            <w:pPr>
              <w:spacing w:after="0"/>
              <w:rPr>
                <w:sz w:val="18"/>
                <w:szCs w:val="18"/>
              </w:rPr>
            </w:pPr>
            <w:r w:rsidRPr="00481464">
              <w:rPr>
                <w:sz w:val="18"/>
                <w:szCs w:val="18"/>
              </w:rPr>
              <w:t>NDIS Manager</w:t>
            </w:r>
          </w:p>
          <w:p w14:paraId="6181C004" w14:textId="77777777" w:rsidR="00AC0C78" w:rsidRPr="00481464" w:rsidRDefault="00AC0C78" w:rsidP="002B0627">
            <w:pPr>
              <w:spacing w:after="0"/>
              <w:rPr>
                <w:sz w:val="18"/>
                <w:szCs w:val="18"/>
              </w:rPr>
            </w:pPr>
          </w:p>
          <w:p w14:paraId="4D364318" w14:textId="053797BC" w:rsidR="00AC0C78" w:rsidRPr="00481464" w:rsidRDefault="00AC0C78" w:rsidP="002B0627">
            <w:pPr>
              <w:spacing w:after="0"/>
              <w:rPr>
                <w:sz w:val="18"/>
                <w:szCs w:val="18"/>
              </w:rPr>
            </w:pPr>
            <w:r w:rsidRPr="00481464">
              <w:rPr>
                <w:sz w:val="18"/>
                <w:szCs w:val="18"/>
              </w:rPr>
              <w:t xml:space="preserve">Senior Clubhouse Recovery Facilitator </w:t>
            </w:r>
          </w:p>
        </w:tc>
      </w:tr>
      <w:tr w:rsidR="00317EF1" w:rsidRPr="00361D67" w14:paraId="0FCE963A" w14:textId="77777777" w:rsidTr="00AC0C78">
        <w:trPr>
          <w:trHeight w:val="1607"/>
          <w:jc w:val="center"/>
        </w:trPr>
        <w:tc>
          <w:tcPr>
            <w:tcW w:w="3137" w:type="dxa"/>
            <w:shd w:val="clear" w:color="auto" w:fill="F2F2F2" w:themeFill="background1" w:themeFillShade="F2"/>
            <w:vAlign w:val="center"/>
          </w:tcPr>
          <w:p w14:paraId="34593724" w14:textId="45F50C67" w:rsidR="00317EF1" w:rsidRPr="00481464" w:rsidRDefault="00317EF1" w:rsidP="002B0627">
            <w:pPr>
              <w:spacing w:after="0"/>
              <w:rPr>
                <w:b/>
                <w:bCs/>
                <w:sz w:val="18"/>
                <w:szCs w:val="18"/>
              </w:rPr>
            </w:pPr>
            <w:r w:rsidRPr="00481464">
              <w:rPr>
                <w:b/>
                <w:bCs/>
                <w:sz w:val="18"/>
                <w:szCs w:val="18"/>
              </w:rPr>
              <w:t>Commitment thresholds</w:t>
            </w:r>
          </w:p>
        </w:tc>
        <w:tc>
          <w:tcPr>
            <w:tcW w:w="12451" w:type="dxa"/>
            <w:gridSpan w:val="3"/>
            <w:vAlign w:val="center"/>
          </w:tcPr>
          <w:p w14:paraId="6A0A3790" w14:textId="0660BC20" w:rsidR="00317EF1" w:rsidRPr="00481464" w:rsidRDefault="00317EF1" w:rsidP="002B0627">
            <w:pPr>
              <w:spacing w:after="0"/>
              <w:rPr>
                <w:sz w:val="18"/>
                <w:szCs w:val="18"/>
              </w:rPr>
            </w:pPr>
            <w:r w:rsidRPr="00481464">
              <w:rPr>
                <w:sz w:val="18"/>
                <w:szCs w:val="18"/>
              </w:rPr>
              <w:t>The dollar value amount</w:t>
            </w:r>
            <w:r w:rsidR="00AC0C78" w:rsidRPr="00481464">
              <w:rPr>
                <w:sz w:val="18"/>
                <w:szCs w:val="18"/>
              </w:rPr>
              <w:t>s</w:t>
            </w:r>
            <w:r w:rsidRPr="00481464">
              <w:rPr>
                <w:sz w:val="18"/>
                <w:szCs w:val="18"/>
              </w:rPr>
              <w:t xml:space="preserve"> shown:</w:t>
            </w:r>
          </w:p>
          <w:p w14:paraId="08FCB153" w14:textId="77777777" w:rsidR="00361D67" w:rsidRPr="00481464" w:rsidRDefault="00361D67" w:rsidP="00317EF1">
            <w:pPr>
              <w:pStyle w:val="ListParagraph"/>
              <w:numPr>
                <w:ilvl w:val="0"/>
                <w:numId w:val="27"/>
              </w:numPr>
              <w:spacing w:after="0"/>
              <w:rPr>
                <w:sz w:val="18"/>
                <w:szCs w:val="18"/>
              </w:rPr>
            </w:pPr>
            <w:r w:rsidRPr="00481464">
              <w:rPr>
                <w:sz w:val="18"/>
                <w:szCs w:val="18"/>
              </w:rPr>
              <w:t>are GST exclusive</w:t>
            </w:r>
          </w:p>
          <w:p w14:paraId="6E4F4BC5" w14:textId="77777777" w:rsidR="00361D67" w:rsidRPr="00481464" w:rsidRDefault="00361D67" w:rsidP="00317EF1">
            <w:pPr>
              <w:pStyle w:val="ListParagraph"/>
              <w:numPr>
                <w:ilvl w:val="0"/>
                <w:numId w:val="27"/>
              </w:numPr>
              <w:spacing w:after="0"/>
              <w:rPr>
                <w:sz w:val="18"/>
                <w:szCs w:val="18"/>
              </w:rPr>
            </w:pPr>
            <w:r w:rsidRPr="00481464">
              <w:rPr>
                <w:sz w:val="18"/>
                <w:szCs w:val="18"/>
              </w:rPr>
              <w:t xml:space="preserve">refer to related expenditures, </w:t>
            </w:r>
            <w:proofErr w:type="gramStart"/>
            <w:r w:rsidRPr="00481464">
              <w:rPr>
                <w:sz w:val="18"/>
                <w:szCs w:val="18"/>
              </w:rPr>
              <w:t>transactions</w:t>
            </w:r>
            <w:proofErr w:type="gramEnd"/>
            <w:r w:rsidRPr="00481464">
              <w:rPr>
                <w:sz w:val="18"/>
                <w:szCs w:val="18"/>
              </w:rPr>
              <w:t xml:space="preserve"> or commitments, whether these occur in one or a series of related transactions or payments</w:t>
            </w:r>
          </w:p>
          <w:p w14:paraId="23FF2F84" w14:textId="77777777" w:rsidR="00317EF1" w:rsidRPr="00481464" w:rsidRDefault="00361D67" w:rsidP="00317EF1">
            <w:pPr>
              <w:pStyle w:val="ListParagraph"/>
              <w:numPr>
                <w:ilvl w:val="0"/>
                <w:numId w:val="27"/>
              </w:numPr>
              <w:spacing w:after="0"/>
              <w:rPr>
                <w:sz w:val="18"/>
                <w:szCs w:val="18"/>
              </w:rPr>
            </w:pPr>
            <w:r w:rsidRPr="00481464">
              <w:rPr>
                <w:sz w:val="18"/>
                <w:szCs w:val="18"/>
              </w:rPr>
              <w:t xml:space="preserve">refer to likely maximum expenditure, commitment or potential risk of liability or financial exposure of The Junction Clubhouse over a single financial year </w:t>
            </w:r>
          </w:p>
        </w:tc>
      </w:tr>
      <w:tr w:rsidR="00361D67" w:rsidRPr="00361D67" w14:paraId="451F644C" w14:textId="77777777" w:rsidTr="00AC0C78">
        <w:trPr>
          <w:trHeight w:val="1059"/>
          <w:jc w:val="center"/>
        </w:trPr>
        <w:tc>
          <w:tcPr>
            <w:tcW w:w="3137" w:type="dxa"/>
            <w:shd w:val="clear" w:color="auto" w:fill="F2F2F2" w:themeFill="background1" w:themeFillShade="F2"/>
            <w:vAlign w:val="center"/>
          </w:tcPr>
          <w:p w14:paraId="44362402" w14:textId="5E1E070A" w:rsidR="00361D67" w:rsidRPr="00481464" w:rsidRDefault="00361D67" w:rsidP="002B0627">
            <w:pPr>
              <w:spacing w:after="0"/>
              <w:rPr>
                <w:b/>
                <w:bCs/>
                <w:sz w:val="18"/>
                <w:szCs w:val="18"/>
              </w:rPr>
            </w:pPr>
            <w:r w:rsidRPr="00481464">
              <w:rPr>
                <w:b/>
                <w:bCs/>
                <w:sz w:val="18"/>
                <w:szCs w:val="18"/>
              </w:rPr>
              <w:t>Authority Limits</w:t>
            </w:r>
          </w:p>
        </w:tc>
        <w:tc>
          <w:tcPr>
            <w:tcW w:w="12451" w:type="dxa"/>
            <w:gridSpan w:val="3"/>
            <w:vAlign w:val="center"/>
          </w:tcPr>
          <w:p w14:paraId="6C10371E" w14:textId="290AA99B" w:rsidR="00361D67" w:rsidRPr="00481464" w:rsidRDefault="00361D67" w:rsidP="002B0627">
            <w:pPr>
              <w:spacing w:after="0"/>
              <w:rPr>
                <w:sz w:val="18"/>
                <w:szCs w:val="18"/>
              </w:rPr>
            </w:pPr>
            <w:r w:rsidRPr="00481464">
              <w:rPr>
                <w:sz w:val="18"/>
                <w:szCs w:val="18"/>
              </w:rPr>
              <w:t xml:space="preserve">Apply to the complete transaction. The splitting of transactions to allow a lower financial limit to be used is prohibited. Approval must always be sought for the final value of the total expenditure. If final expenditure </w:t>
            </w:r>
            <w:r w:rsidR="004D622C" w:rsidRPr="00481464">
              <w:rPr>
                <w:sz w:val="18"/>
                <w:szCs w:val="18"/>
              </w:rPr>
              <w:t>exceeds (or may exceed) a Delegate’s authority limits, approval at a higher level must be obtained.</w:t>
            </w:r>
          </w:p>
        </w:tc>
      </w:tr>
    </w:tbl>
    <w:p w14:paraId="7418704B" w14:textId="201FAD20" w:rsidR="00E00AAF" w:rsidRPr="00112FA6" w:rsidRDefault="005903F3" w:rsidP="00AC0C78">
      <w:pPr>
        <w:pStyle w:val="Heading1"/>
        <w:rPr>
          <w:rFonts w:ascii="Verdana" w:hAnsi="Verdana"/>
        </w:rPr>
      </w:pPr>
      <w:r>
        <w:rPr>
          <w:rFonts w:ascii="Verdana" w:hAnsi="Verdana"/>
          <w:sz w:val="20"/>
          <w:szCs w:val="20"/>
        </w:rPr>
        <w:t xml:space="preserve"> </w:t>
      </w:r>
    </w:p>
    <w:sectPr w:rsidR="00E00AAF" w:rsidRPr="00112FA6" w:rsidSect="00481464">
      <w:footerReference w:type="default" r:id="rId15"/>
      <w:footerReference w:type="first" r:id="rId16"/>
      <w:pgSz w:w="16838" w:h="11906" w:orient="landscape"/>
      <w:pgMar w:top="993" w:right="717" w:bottom="991" w:left="426" w:header="570" w:footer="4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A2565" w14:textId="77777777" w:rsidR="00291A0C" w:rsidRDefault="00291A0C">
      <w:pPr>
        <w:spacing w:after="0" w:line="240" w:lineRule="auto"/>
      </w:pPr>
      <w:r>
        <w:separator/>
      </w:r>
    </w:p>
  </w:endnote>
  <w:endnote w:type="continuationSeparator" w:id="0">
    <w:p w14:paraId="4A7BAB0C" w14:textId="77777777" w:rsidR="00291A0C" w:rsidRDefault="00291A0C">
      <w:pPr>
        <w:spacing w:after="0" w:line="240" w:lineRule="auto"/>
      </w:pPr>
      <w:r>
        <w:continuationSeparator/>
      </w:r>
    </w:p>
  </w:endnote>
  <w:endnote w:type="continuationNotice" w:id="1">
    <w:p w14:paraId="45FD314F" w14:textId="77777777" w:rsidR="00FC01E6" w:rsidRDefault="00FC01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BCC4" w14:textId="56743C79" w:rsidR="001325B1" w:rsidRDefault="001325B1">
    <w:pPr>
      <w:pStyle w:val="Footer"/>
    </w:pPr>
    <w:r>
      <w:rPr>
        <w:rFonts w:ascii="Verdana" w:hAnsi="Verdana"/>
        <w:sz w:val="14"/>
        <w:szCs w:val="14"/>
      </w:rPr>
      <w:t>JQS.F1.105 v2 Director Schedule of Delegations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4DFAE" w14:textId="161876CE" w:rsidR="00C47027" w:rsidRDefault="00C47027" w:rsidP="00660F9F">
    <w:pPr>
      <w:pStyle w:val="Foote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119"/>
      <w:gridCol w:w="3969"/>
    </w:tblGrid>
    <w:tr w:rsidR="001325B1" w:rsidRPr="00D66367" w14:paraId="4813AB38" w14:textId="77777777" w:rsidTr="002B0627">
      <w:trPr>
        <w:trHeight w:val="340"/>
      </w:trPr>
      <w:tc>
        <w:tcPr>
          <w:tcW w:w="9952" w:type="dxa"/>
          <w:gridSpan w:val="3"/>
          <w:tcBorders>
            <w:top w:val="single" w:sz="4" w:space="0" w:color="0000FF"/>
            <w:left w:val="single" w:sz="4" w:space="0" w:color="0000FF"/>
            <w:bottom w:val="single" w:sz="4" w:space="0" w:color="0000FF"/>
            <w:right w:val="single" w:sz="4" w:space="0" w:color="0000FF"/>
          </w:tcBorders>
          <w:shd w:val="clear" w:color="auto" w:fill="F2F2F2" w:themeFill="background1" w:themeFillShade="F2"/>
          <w:vAlign w:val="center"/>
          <w:hideMark/>
        </w:tcPr>
        <w:p w14:paraId="28AE76E3" w14:textId="77777777" w:rsidR="001325B1" w:rsidRPr="00D66367" w:rsidRDefault="001325B1" w:rsidP="001325B1">
          <w:pPr>
            <w:spacing w:after="0" w:line="300" w:lineRule="atLeast"/>
            <w:rPr>
              <w:rFonts w:ascii="Verdana" w:hAnsi="Verdana"/>
              <w:b/>
              <w:sz w:val="14"/>
              <w:szCs w:val="14"/>
            </w:rPr>
          </w:pPr>
          <w:r w:rsidRPr="00D66367">
            <w:rPr>
              <w:rFonts w:ascii="Verdana" w:hAnsi="Verdana"/>
              <w:b/>
              <w:sz w:val="14"/>
              <w:szCs w:val="14"/>
            </w:rPr>
            <w:t>The Junction Clubhouse Cairns Ltd (The Junction)</w:t>
          </w:r>
          <w:r>
            <w:rPr>
              <w:rFonts w:ascii="Verdana" w:hAnsi="Verdana"/>
              <w:b/>
              <w:sz w:val="14"/>
              <w:szCs w:val="14"/>
            </w:rPr>
            <w:t xml:space="preserve"> – </w:t>
          </w:r>
          <w:r>
            <w:rPr>
              <w:rFonts w:ascii="Verdana" w:hAnsi="Verdana"/>
              <w:b/>
              <w:sz w:val="16"/>
              <w:szCs w:val="16"/>
            </w:rPr>
            <w:t>Director Schedule of Delegations</w:t>
          </w:r>
        </w:p>
      </w:tc>
    </w:tr>
    <w:tr w:rsidR="001325B1" w:rsidRPr="00D66367" w14:paraId="02B49C40" w14:textId="77777777" w:rsidTr="002B0627">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c>
        <w:tcPr>
          <w:tcW w:w="2864" w:type="dxa"/>
          <w:tcBorders>
            <w:top w:val="single" w:sz="8" w:space="0" w:color="0000FF"/>
            <w:left w:val="single" w:sz="8" w:space="0" w:color="0000FF"/>
            <w:bottom w:val="single" w:sz="8" w:space="0" w:color="0000FF"/>
            <w:right w:val="single" w:sz="8" w:space="0" w:color="0000FF"/>
          </w:tcBorders>
        </w:tcPr>
        <w:p w14:paraId="359C6B7F"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Document number: </w:t>
          </w:r>
          <w:r>
            <w:rPr>
              <w:rFonts w:ascii="Verdana" w:hAnsi="Verdana"/>
              <w:sz w:val="14"/>
              <w:szCs w:val="14"/>
            </w:rPr>
            <w:t xml:space="preserve"> JQS.F1.105 v2</w:t>
          </w:r>
        </w:p>
      </w:tc>
      <w:tc>
        <w:tcPr>
          <w:tcW w:w="3119" w:type="dxa"/>
          <w:tcBorders>
            <w:top w:val="single" w:sz="8" w:space="0" w:color="0000FF"/>
            <w:left w:val="single" w:sz="8" w:space="0" w:color="0000FF"/>
            <w:bottom w:val="single" w:sz="8" w:space="0" w:color="0000FF"/>
            <w:right w:val="single" w:sz="8" w:space="0" w:color="0000FF"/>
          </w:tcBorders>
        </w:tcPr>
        <w:p w14:paraId="4CD4AD0B"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Authorised by: The Director</w:t>
          </w:r>
        </w:p>
      </w:tc>
      <w:tc>
        <w:tcPr>
          <w:tcW w:w="3969" w:type="dxa"/>
          <w:tcBorders>
            <w:top w:val="single" w:sz="8" w:space="0" w:color="0000FF"/>
            <w:left w:val="single" w:sz="8" w:space="0" w:color="0000FF"/>
            <w:bottom w:val="single" w:sz="8" w:space="0" w:color="0000FF"/>
            <w:right w:val="single" w:sz="8" w:space="0" w:color="0000FF"/>
          </w:tcBorders>
        </w:tcPr>
        <w:p w14:paraId="15FF6AE5"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adopted: </w:t>
          </w:r>
        </w:p>
      </w:tc>
    </w:tr>
    <w:tr w:rsidR="001325B1" w:rsidRPr="00D66367" w14:paraId="2329CFE0" w14:textId="77777777" w:rsidTr="002B0627">
      <w:tblPrEx>
        <w:tblBorders>
          <w:top w:val="single" w:sz="8" w:space="0" w:color="0000FF"/>
          <w:left w:val="single" w:sz="8" w:space="0" w:color="0000FF"/>
          <w:bottom w:val="single" w:sz="8" w:space="0" w:color="0000FF"/>
          <w:right w:val="single" w:sz="8" w:space="0" w:color="0000FF"/>
          <w:insideH w:val="single" w:sz="8" w:space="0" w:color="0000FF"/>
          <w:insideV w:val="single" w:sz="8" w:space="0" w:color="0000FF"/>
        </w:tblBorders>
      </w:tblPrEx>
      <w:tc>
        <w:tcPr>
          <w:tcW w:w="2864" w:type="dxa"/>
          <w:tcBorders>
            <w:top w:val="single" w:sz="8" w:space="0" w:color="0000FF"/>
            <w:left w:val="single" w:sz="8" w:space="0" w:color="0000FF"/>
            <w:bottom w:val="single" w:sz="8" w:space="0" w:color="0000FF"/>
            <w:right w:val="single" w:sz="8" w:space="0" w:color="0000FF"/>
          </w:tcBorders>
        </w:tcPr>
        <w:p w14:paraId="65DAFA8C"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last reviewed: </w:t>
          </w:r>
        </w:p>
      </w:tc>
      <w:tc>
        <w:tcPr>
          <w:tcW w:w="3119" w:type="dxa"/>
          <w:tcBorders>
            <w:top w:val="single" w:sz="8" w:space="0" w:color="0000FF"/>
            <w:left w:val="single" w:sz="8" w:space="0" w:color="0000FF"/>
            <w:bottom w:val="single" w:sz="8" w:space="0" w:color="0000FF"/>
            <w:right w:val="single" w:sz="8" w:space="0" w:color="0000FF"/>
          </w:tcBorders>
        </w:tcPr>
        <w:p w14:paraId="1CCAA8A7"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Reviewed by: Quality Review Panel</w:t>
          </w:r>
        </w:p>
      </w:tc>
      <w:tc>
        <w:tcPr>
          <w:tcW w:w="3969" w:type="dxa"/>
          <w:tcBorders>
            <w:top w:val="single" w:sz="8" w:space="0" w:color="0000FF"/>
            <w:left w:val="single" w:sz="8" w:space="0" w:color="0000FF"/>
            <w:bottom w:val="single" w:sz="8" w:space="0" w:color="0000FF"/>
            <w:right w:val="single" w:sz="8" w:space="0" w:color="0000FF"/>
          </w:tcBorders>
        </w:tcPr>
        <w:p w14:paraId="25B4C657" w14:textId="77777777" w:rsidR="001325B1" w:rsidRPr="00D66367" w:rsidRDefault="001325B1" w:rsidP="001325B1">
          <w:pPr>
            <w:shd w:val="clear" w:color="auto" w:fill="FFFFFF"/>
            <w:spacing w:before="100" w:beforeAutospacing="1" w:after="100" w:afterAutospacing="1" w:line="300" w:lineRule="atLeast"/>
            <w:rPr>
              <w:rFonts w:ascii="Verdana" w:hAnsi="Verdana"/>
              <w:sz w:val="14"/>
              <w:szCs w:val="14"/>
            </w:rPr>
          </w:pPr>
          <w:r w:rsidRPr="00D66367">
            <w:rPr>
              <w:rFonts w:ascii="Verdana" w:hAnsi="Verdana"/>
              <w:sz w:val="14"/>
              <w:szCs w:val="14"/>
            </w:rPr>
            <w:t xml:space="preserve">Date of next review: </w:t>
          </w:r>
        </w:p>
      </w:tc>
    </w:tr>
  </w:tbl>
  <w:p w14:paraId="3895D048" w14:textId="234BA966" w:rsidR="00C47027" w:rsidRDefault="00C47027" w:rsidP="001325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AC0E1" w14:textId="77777777" w:rsidR="00481464" w:rsidRDefault="004814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9C95F" w14:textId="77777777" w:rsidR="00E754CD" w:rsidRDefault="00E754CD" w:rsidP="00660F9F">
    <w:pPr>
      <w:pStyle w:val="Footer"/>
    </w:pPr>
    <w:r w:rsidRPr="003D0EE4">
      <w:rPr>
        <w:rFonts w:ascii="Verdana" w:hAnsi="Verdana"/>
        <w:sz w:val="18"/>
        <w:szCs w:val="18"/>
      </w:rPr>
      <w:tab/>
    </w:r>
  </w:p>
  <w:p w14:paraId="466F3B6C" w14:textId="77777777" w:rsidR="00E754CD" w:rsidRDefault="00E75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1C580" w14:textId="77777777" w:rsidR="00291A0C" w:rsidRDefault="00291A0C">
      <w:pPr>
        <w:spacing w:after="0" w:line="240" w:lineRule="auto"/>
      </w:pPr>
      <w:r>
        <w:separator/>
      </w:r>
    </w:p>
  </w:footnote>
  <w:footnote w:type="continuationSeparator" w:id="0">
    <w:p w14:paraId="3DE5CFB0" w14:textId="77777777" w:rsidR="00291A0C" w:rsidRDefault="00291A0C">
      <w:pPr>
        <w:spacing w:after="0" w:line="240" w:lineRule="auto"/>
      </w:pPr>
      <w:r>
        <w:continuationSeparator/>
      </w:r>
    </w:p>
  </w:footnote>
  <w:footnote w:type="continuationNotice" w:id="1">
    <w:p w14:paraId="3110DF5D" w14:textId="77777777" w:rsidR="00FC01E6" w:rsidRDefault="00FC01E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7FC6" w14:textId="77777777" w:rsidR="00B10679" w:rsidRDefault="00B10679" w:rsidP="00B10679">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4A24921A" wp14:editId="7805DC63">
          <wp:extent cx="1646799" cy="784512"/>
          <wp:effectExtent l="0" t="0" r="0" b="0"/>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5C347547" w14:textId="4FBCF59A" w:rsidR="00B10679" w:rsidRPr="00B10679" w:rsidRDefault="00B10679" w:rsidP="00B10679">
    <w:pPr>
      <w:pStyle w:val="Heading1"/>
      <w:spacing w:before="100" w:beforeAutospacing="1" w:after="100" w:afterAutospacing="1" w:line="300" w:lineRule="atLeast"/>
      <w:rPr>
        <w:rFonts w:ascii="Verdana" w:hAnsi="Verdana"/>
        <w:szCs w:val="32"/>
      </w:rPr>
    </w:pPr>
    <w:r>
      <w:rPr>
        <w:rFonts w:ascii="Verdana" w:hAnsi="Verdana"/>
        <w:szCs w:val="32"/>
      </w:rPr>
      <w:t>Director Schedule of Delegations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A6032" w14:textId="77777777" w:rsidR="006D0DAD" w:rsidRDefault="006D0DAD" w:rsidP="006D0DAD">
    <w:pPr>
      <w:pStyle w:val="Heading1"/>
      <w:spacing w:before="100" w:beforeAutospacing="1" w:after="100" w:afterAutospacing="1" w:line="300" w:lineRule="atLeast"/>
      <w:rPr>
        <w:rFonts w:ascii="Verdana" w:hAnsi="Verdana"/>
        <w:szCs w:val="32"/>
      </w:rPr>
    </w:pPr>
    <w:r w:rsidRPr="00486607">
      <w:rPr>
        <w:noProof/>
      </w:rPr>
      <w:drawing>
        <wp:inline distT="0" distB="0" distL="0" distR="0" wp14:anchorId="7BC4CAD3" wp14:editId="47A5F8C3">
          <wp:extent cx="1646799" cy="784512"/>
          <wp:effectExtent l="0" t="0" r="0" b="0"/>
          <wp:docPr id="21" name="Picture 2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1763392" cy="840055"/>
                  </a:xfrm>
                  <a:prstGeom prst="rect">
                    <a:avLst/>
                  </a:prstGeom>
                </pic:spPr>
              </pic:pic>
            </a:graphicData>
          </a:graphic>
        </wp:inline>
      </w:drawing>
    </w:r>
  </w:p>
  <w:p w14:paraId="4FD83306" w14:textId="1D10EC30" w:rsidR="006D0DAD" w:rsidRPr="006D0DAD" w:rsidRDefault="0074527B" w:rsidP="006D0DAD">
    <w:pPr>
      <w:pStyle w:val="Heading1"/>
      <w:spacing w:before="100" w:beforeAutospacing="1" w:after="100" w:afterAutospacing="1" w:line="300" w:lineRule="atLeast"/>
      <w:rPr>
        <w:rFonts w:ascii="Verdana" w:hAnsi="Verdana"/>
        <w:szCs w:val="32"/>
      </w:rPr>
    </w:pPr>
    <w:r>
      <w:rPr>
        <w:rFonts w:ascii="Verdana" w:hAnsi="Verdana"/>
        <w:szCs w:val="32"/>
      </w:rPr>
      <w:t>Director Schedule of Delegations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7003"/>
    <w:multiLevelType w:val="hybridMultilevel"/>
    <w:tmpl w:val="E1E244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48C65DF"/>
    <w:multiLevelType w:val="hybridMultilevel"/>
    <w:tmpl w:val="C55875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9D3C98"/>
    <w:multiLevelType w:val="hybridMultilevel"/>
    <w:tmpl w:val="A5367B42"/>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3" w15:restartNumberingAfterBreak="0">
    <w:nsid w:val="19A50680"/>
    <w:multiLevelType w:val="hybridMultilevel"/>
    <w:tmpl w:val="1CE0F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96BBF"/>
    <w:multiLevelType w:val="hybridMultilevel"/>
    <w:tmpl w:val="BEA8B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2B64E30"/>
    <w:multiLevelType w:val="hybridMultilevel"/>
    <w:tmpl w:val="7E609B50"/>
    <w:lvl w:ilvl="0" w:tplc="0C09000F">
      <w:start w:val="1"/>
      <w:numFmt w:val="decimal"/>
      <w:lvlText w:val="%1."/>
      <w:lvlJc w:val="left"/>
      <w:pPr>
        <w:ind w:left="720" w:hanging="360"/>
      </w:pPr>
    </w:lvl>
    <w:lvl w:ilvl="1" w:tplc="E06E8F24">
      <w:numFmt w:val="bullet"/>
      <w:lvlText w:val=""/>
      <w:lvlJc w:val="left"/>
      <w:pPr>
        <w:ind w:left="1440" w:hanging="360"/>
      </w:pPr>
      <w:rPr>
        <w:rFonts w:ascii="Wingdings" w:eastAsiaTheme="minorHAnsi" w:hAnsi="Wingdings"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4A1149"/>
    <w:multiLevelType w:val="hybridMultilevel"/>
    <w:tmpl w:val="BC8CB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18201F"/>
    <w:multiLevelType w:val="hybridMultilevel"/>
    <w:tmpl w:val="0D6C5054"/>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EB0EDE"/>
    <w:multiLevelType w:val="hybridMultilevel"/>
    <w:tmpl w:val="2952B3A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9" w15:restartNumberingAfterBreak="0">
    <w:nsid w:val="342E138D"/>
    <w:multiLevelType w:val="hybridMultilevel"/>
    <w:tmpl w:val="97F2A7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AB4668"/>
    <w:multiLevelType w:val="hybridMultilevel"/>
    <w:tmpl w:val="934E8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9731D5"/>
    <w:multiLevelType w:val="hybridMultilevel"/>
    <w:tmpl w:val="E5326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E12183"/>
    <w:multiLevelType w:val="hybridMultilevel"/>
    <w:tmpl w:val="94C2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76CA3"/>
    <w:multiLevelType w:val="hybridMultilevel"/>
    <w:tmpl w:val="22FA30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6E14A1"/>
    <w:multiLevelType w:val="hybridMultilevel"/>
    <w:tmpl w:val="48F66E6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A2E16"/>
    <w:multiLevelType w:val="hybridMultilevel"/>
    <w:tmpl w:val="8B8E2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E1B2B54"/>
    <w:multiLevelType w:val="hybridMultilevel"/>
    <w:tmpl w:val="A0D215B8"/>
    <w:lvl w:ilvl="0" w:tplc="B1C0BB64">
      <w:numFmt w:val="bullet"/>
      <w:lvlText w:val=""/>
      <w:lvlJc w:val="left"/>
      <w:pPr>
        <w:ind w:left="720" w:hanging="360"/>
      </w:pPr>
      <w:rPr>
        <w:rFonts w:ascii="Wingdings 2" w:eastAsia="Calibri" w:hAnsi="Wingdings 2"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48072F4"/>
    <w:multiLevelType w:val="hybridMultilevel"/>
    <w:tmpl w:val="86BC7C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FA752F5"/>
    <w:multiLevelType w:val="hybridMultilevel"/>
    <w:tmpl w:val="99B05F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0415590"/>
    <w:multiLevelType w:val="hybridMultilevel"/>
    <w:tmpl w:val="8048B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CD1FF3"/>
    <w:multiLevelType w:val="hybridMultilevel"/>
    <w:tmpl w:val="2DC4124E"/>
    <w:lvl w:ilvl="0" w:tplc="DD1C039E">
      <w:start w:val="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D80CD8"/>
    <w:multiLevelType w:val="hybridMultilevel"/>
    <w:tmpl w:val="E76CB46E"/>
    <w:lvl w:ilvl="0" w:tplc="0C090001">
      <w:start w:val="1"/>
      <w:numFmt w:val="bullet"/>
      <w:lvlText w:val=""/>
      <w:lvlJc w:val="left"/>
      <w:pPr>
        <w:tabs>
          <w:tab w:val="num" w:pos="789"/>
        </w:tabs>
        <w:ind w:left="789" w:hanging="360"/>
      </w:pPr>
      <w:rPr>
        <w:rFonts w:ascii="Symbol" w:hAnsi="Symbol" w:hint="default"/>
      </w:rPr>
    </w:lvl>
    <w:lvl w:ilvl="1" w:tplc="0C090003" w:tentative="1">
      <w:start w:val="1"/>
      <w:numFmt w:val="bullet"/>
      <w:lvlText w:val="o"/>
      <w:lvlJc w:val="left"/>
      <w:pPr>
        <w:tabs>
          <w:tab w:val="num" w:pos="1509"/>
        </w:tabs>
        <w:ind w:left="1509" w:hanging="360"/>
      </w:pPr>
      <w:rPr>
        <w:rFonts w:ascii="Courier New" w:hAnsi="Courier New" w:hint="default"/>
      </w:rPr>
    </w:lvl>
    <w:lvl w:ilvl="2" w:tplc="0C090005" w:tentative="1">
      <w:start w:val="1"/>
      <w:numFmt w:val="bullet"/>
      <w:lvlText w:val=""/>
      <w:lvlJc w:val="left"/>
      <w:pPr>
        <w:tabs>
          <w:tab w:val="num" w:pos="2229"/>
        </w:tabs>
        <w:ind w:left="2229" w:hanging="360"/>
      </w:pPr>
      <w:rPr>
        <w:rFonts w:ascii="Wingdings" w:hAnsi="Wingdings" w:hint="default"/>
      </w:rPr>
    </w:lvl>
    <w:lvl w:ilvl="3" w:tplc="0C090001" w:tentative="1">
      <w:start w:val="1"/>
      <w:numFmt w:val="bullet"/>
      <w:lvlText w:val=""/>
      <w:lvlJc w:val="left"/>
      <w:pPr>
        <w:tabs>
          <w:tab w:val="num" w:pos="2949"/>
        </w:tabs>
        <w:ind w:left="2949" w:hanging="360"/>
      </w:pPr>
      <w:rPr>
        <w:rFonts w:ascii="Symbol" w:hAnsi="Symbol" w:hint="default"/>
      </w:rPr>
    </w:lvl>
    <w:lvl w:ilvl="4" w:tplc="0C090003" w:tentative="1">
      <w:start w:val="1"/>
      <w:numFmt w:val="bullet"/>
      <w:lvlText w:val="o"/>
      <w:lvlJc w:val="left"/>
      <w:pPr>
        <w:tabs>
          <w:tab w:val="num" w:pos="3669"/>
        </w:tabs>
        <w:ind w:left="3669" w:hanging="360"/>
      </w:pPr>
      <w:rPr>
        <w:rFonts w:ascii="Courier New" w:hAnsi="Courier New" w:hint="default"/>
      </w:rPr>
    </w:lvl>
    <w:lvl w:ilvl="5" w:tplc="0C090005" w:tentative="1">
      <w:start w:val="1"/>
      <w:numFmt w:val="bullet"/>
      <w:lvlText w:val=""/>
      <w:lvlJc w:val="left"/>
      <w:pPr>
        <w:tabs>
          <w:tab w:val="num" w:pos="4389"/>
        </w:tabs>
        <w:ind w:left="4389" w:hanging="360"/>
      </w:pPr>
      <w:rPr>
        <w:rFonts w:ascii="Wingdings" w:hAnsi="Wingdings" w:hint="default"/>
      </w:rPr>
    </w:lvl>
    <w:lvl w:ilvl="6" w:tplc="0C090001" w:tentative="1">
      <w:start w:val="1"/>
      <w:numFmt w:val="bullet"/>
      <w:lvlText w:val=""/>
      <w:lvlJc w:val="left"/>
      <w:pPr>
        <w:tabs>
          <w:tab w:val="num" w:pos="5109"/>
        </w:tabs>
        <w:ind w:left="5109" w:hanging="360"/>
      </w:pPr>
      <w:rPr>
        <w:rFonts w:ascii="Symbol" w:hAnsi="Symbol" w:hint="default"/>
      </w:rPr>
    </w:lvl>
    <w:lvl w:ilvl="7" w:tplc="0C090003" w:tentative="1">
      <w:start w:val="1"/>
      <w:numFmt w:val="bullet"/>
      <w:lvlText w:val="o"/>
      <w:lvlJc w:val="left"/>
      <w:pPr>
        <w:tabs>
          <w:tab w:val="num" w:pos="5829"/>
        </w:tabs>
        <w:ind w:left="5829" w:hanging="360"/>
      </w:pPr>
      <w:rPr>
        <w:rFonts w:ascii="Courier New" w:hAnsi="Courier New" w:hint="default"/>
      </w:rPr>
    </w:lvl>
    <w:lvl w:ilvl="8" w:tplc="0C090005" w:tentative="1">
      <w:start w:val="1"/>
      <w:numFmt w:val="bullet"/>
      <w:lvlText w:val=""/>
      <w:lvlJc w:val="left"/>
      <w:pPr>
        <w:tabs>
          <w:tab w:val="num" w:pos="6549"/>
        </w:tabs>
        <w:ind w:left="6549" w:hanging="360"/>
      </w:pPr>
      <w:rPr>
        <w:rFonts w:ascii="Wingdings" w:hAnsi="Wingdings" w:hint="default"/>
      </w:rPr>
    </w:lvl>
  </w:abstractNum>
  <w:abstractNum w:abstractNumId="22" w15:restartNumberingAfterBreak="0">
    <w:nsid w:val="6AE652DB"/>
    <w:multiLevelType w:val="hybridMultilevel"/>
    <w:tmpl w:val="19F63240"/>
    <w:lvl w:ilvl="0" w:tplc="D3224EB6">
      <w:start w:val="5"/>
      <w:numFmt w:val="bullet"/>
      <w:lvlText w:val=""/>
      <w:lvlJc w:val="left"/>
      <w:pPr>
        <w:tabs>
          <w:tab w:val="num" w:pos="420"/>
        </w:tabs>
        <w:ind w:left="420" w:hanging="360"/>
      </w:pPr>
      <w:rPr>
        <w:rFonts w:ascii="Wingdings" w:eastAsia="Times New Roman" w:hAnsi="Wingdings" w:hint="default"/>
      </w:rPr>
    </w:lvl>
    <w:lvl w:ilvl="1" w:tplc="0C090003" w:tentative="1">
      <w:start w:val="1"/>
      <w:numFmt w:val="bullet"/>
      <w:lvlText w:val="o"/>
      <w:lvlJc w:val="left"/>
      <w:pPr>
        <w:tabs>
          <w:tab w:val="num" w:pos="1140"/>
        </w:tabs>
        <w:ind w:left="1140" w:hanging="360"/>
      </w:pPr>
      <w:rPr>
        <w:rFonts w:ascii="Courier New" w:hAnsi="Courier New" w:hint="default"/>
      </w:rPr>
    </w:lvl>
    <w:lvl w:ilvl="2" w:tplc="0C090005" w:tentative="1">
      <w:start w:val="1"/>
      <w:numFmt w:val="bullet"/>
      <w:lvlText w:val=""/>
      <w:lvlJc w:val="left"/>
      <w:pPr>
        <w:tabs>
          <w:tab w:val="num" w:pos="1860"/>
        </w:tabs>
        <w:ind w:left="1860" w:hanging="360"/>
      </w:pPr>
      <w:rPr>
        <w:rFonts w:ascii="Wingdings" w:hAnsi="Wingdings" w:hint="default"/>
      </w:rPr>
    </w:lvl>
    <w:lvl w:ilvl="3" w:tplc="0C090001" w:tentative="1">
      <w:start w:val="1"/>
      <w:numFmt w:val="bullet"/>
      <w:lvlText w:val=""/>
      <w:lvlJc w:val="left"/>
      <w:pPr>
        <w:tabs>
          <w:tab w:val="num" w:pos="2580"/>
        </w:tabs>
        <w:ind w:left="2580" w:hanging="360"/>
      </w:pPr>
      <w:rPr>
        <w:rFonts w:ascii="Symbol" w:hAnsi="Symbol" w:hint="default"/>
      </w:rPr>
    </w:lvl>
    <w:lvl w:ilvl="4" w:tplc="0C090003" w:tentative="1">
      <w:start w:val="1"/>
      <w:numFmt w:val="bullet"/>
      <w:lvlText w:val="o"/>
      <w:lvlJc w:val="left"/>
      <w:pPr>
        <w:tabs>
          <w:tab w:val="num" w:pos="3300"/>
        </w:tabs>
        <w:ind w:left="3300" w:hanging="360"/>
      </w:pPr>
      <w:rPr>
        <w:rFonts w:ascii="Courier New" w:hAnsi="Courier New" w:hint="default"/>
      </w:rPr>
    </w:lvl>
    <w:lvl w:ilvl="5" w:tplc="0C090005" w:tentative="1">
      <w:start w:val="1"/>
      <w:numFmt w:val="bullet"/>
      <w:lvlText w:val=""/>
      <w:lvlJc w:val="left"/>
      <w:pPr>
        <w:tabs>
          <w:tab w:val="num" w:pos="4020"/>
        </w:tabs>
        <w:ind w:left="4020" w:hanging="360"/>
      </w:pPr>
      <w:rPr>
        <w:rFonts w:ascii="Wingdings" w:hAnsi="Wingdings" w:hint="default"/>
      </w:rPr>
    </w:lvl>
    <w:lvl w:ilvl="6" w:tplc="0C090001" w:tentative="1">
      <w:start w:val="1"/>
      <w:numFmt w:val="bullet"/>
      <w:lvlText w:val=""/>
      <w:lvlJc w:val="left"/>
      <w:pPr>
        <w:tabs>
          <w:tab w:val="num" w:pos="4740"/>
        </w:tabs>
        <w:ind w:left="4740" w:hanging="360"/>
      </w:pPr>
      <w:rPr>
        <w:rFonts w:ascii="Symbol" w:hAnsi="Symbol" w:hint="default"/>
      </w:rPr>
    </w:lvl>
    <w:lvl w:ilvl="7" w:tplc="0C090003" w:tentative="1">
      <w:start w:val="1"/>
      <w:numFmt w:val="bullet"/>
      <w:lvlText w:val="o"/>
      <w:lvlJc w:val="left"/>
      <w:pPr>
        <w:tabs>
          <w:tab w:val="num" w:pos="5460"/>
        </w:tabs>
        <w:ind w:left="5460" w:hanging="360"/>
      </w:pPr>
      <w:rPr>
        <w:rFonts w:ascii="Courier New" w:hAnsi="Courier New" w:hint="default"/>
      </w:rPr>
    </w:lvl>
    <w:lvl w:ilvl="8" w:tplc="0C090005" w:tentative="1">
      <w:start w:val="1"/>
      <w:numFmt w:val="bullet"/>
      <w:lvlText w:val=""/>
      <w:lvlJc w:val="left"/>
      <w:pPr>
        <w:tabs>
          <w:tab w:val="num" w:pos="6180"/>
        </w:tabs>
        <w:ind w:left="6180" w:hanging="360"/>
      </w:pPr>
      <w:rPr>
        <w:rFonts w:ascii="Wingdings" w:hAnsi="Wingdings" w:hint="default"/>
      </w:rPr>
    </w:lvl>
  </w:abstractNum>
  <w:abstractNum w:abstractNumId="23" w15:restartNumberingAfterBreak="0">
    <w:nsid w:val="74D86245"/>
    <w:multiLevelType w:val="hybridMultilevel"/>
    <w:tmpl w:val="5C20C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8AC3A44"/>
    <w:multiLevelType w:val="multilevel"/>
    <w:tmpl w:val="2668C658"/>
    <w:lvl w:ilvl="0">
      <w:start w:val="1"/>
      <w:numFmt w:val="decimal"/>
      <w:lvlText w:val="%1.0"/>
      <w:lvlJc w:val="left"/>
      <w:pPr>
        <w:ind w:left="675" w:hanging="675"/>
      </w:pPr>
      <w:rPr>
        <w:rFonts w:hint="default"/>
      </w:rPr>
    </w:lvl>
    <w:lvl w:ilvl="1">
      <w:start w:val="1"/>
      <w:numFmt w:val="decimal"/>
      <w:lvlText w:val="%1.%2"/>
      <w:lvlJc w:val="left"/>
      <w:pPr>
        <w:ind w:left="1395" w:hanging="6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794A4D10"/>
    <w:multiLevelType w:val="hybridMultilevel"/>
    <w:tmpl w:val="5CFEE680"/>
    <w:lvl w:ilvl="0" w:tplc="0C090001">
      <w:start w:val="1"/>
      <w:numFmt w:val="bullet"/>
      <w:lvlText w:val=""/>
      <w:lvlJc w:val="left"/>
      <w:pPr>
        <w:ind w:left="781" w:hanging="360"/>
      </w:pPr>
      <w:rPr>
        <w:rFonts w:ascii="Symbol" w:hAnsi="Symbol" w:hint="default"/>
      </w:rPr>
    </w:lvl>
    <w:lvl w:ilvl="1" w:tplc="0C090003" w:tentative="1">
      <w:start w:val="1"/>
      <w:numFmt w:val="bullet"/>
      <w:lvlText w:val="o"/>
      <w:lvlJc w:val="left"/>
      <w:pPr>
        <w:ind w:left="1501" w:hanging="360"/>
      </w:pPr>
      <w:rPr>
        <w:rFonts w:ascii="Courier New" w:hAnsi="Courier New" w:cs="Courier New" w:hint="default"/>
      </w:rPr>
    </w:lvl>
    <w:lvl w:ilvl="2" w:tplc="0C090005" w:tentative="1">
      <w:start w:val="1"/>
      <w:numFmt w:val="bullet"/>
      <w:lvlText w:val=""/>
      <w:lvlJc w:val="left"/>
      <w:pPr>
        <w:ind w:left="2221" w:hanging="360"/>
      </w:pPr>
      <w:rPr>
        <w:rFonts w:ascii="Wingdings" w:hAnsi="Wingdings" w:hint="default"/>
      </w:rPr>
    </w:lvl>
    <w:lvl w:ilvl="3" w:tplc="0C090001" w:tentative="1">
      <w:start w:val="1"/>
      <w:numFmt w:val="bullet"/>
      <w:lvlText w:val=""/>
      <w:lvlJc w:val="left"/>
      <w:pPr>
        <w:ind w:left="2941" w:hanging="360"/>
      </w:pPr>
      <w:rPr>
        <w:rFonts w:ascii="Symbol" w:hAnsi="Symbol" w:hint="default"/>
      </w:rPr>
    </w:lvl>
    <w:lvl w:ilvl="4" w:tplc="0C090003" w:tentative="1">
      <w:start w:val="1"/>
      <w:numFmt w:val="bullet"/>
      <w:lvlText w:val="o"/>
      <w:lvlJc w:val="left"/>
      <w:pPr>
        <w:ind w:left="3661" w:hanging="360"/>
      </w:pPr>
      <w:rPr>
        <w:rFonts w:ascii="Courier New" w:hAnsi="Courier New" w:cs="Courier New" w:hint="default"/>
      </w:rPr>
    </w:lvl>
    <w:lvl w:ilvl="5" w:tplc="0C090005" w:tentative="1">
      <w:start w:val="1"/>
      <w:numFmt w:val="bullet"/>
      <w:lvlText w:val=""/>
      <w:lvlJc w:val="left"/>
      <w:pPr>
        <w:ind w:left="4381" w:hanging="360"/>
      </w:pPr>
      <w:rPr>
        <w:rFonts w:ascii="Wingdings" w:hAnsi="Wingdings" w:hint="default"/>
      </w:rPr>
    </w:lvl>
    <w:lvl w:ilvl="6" w:tplc="0C090001" w:tentative="1">
      <w:start w:val="1"/>
      <w:numFmt w:val="bullet"/>
      <w:lvlText w:val=""/>
      <w:lvlJc w:val="left"/>
      <w:pPr>
        <w:ind w:left="5101" w:hanging="360"/>
      </w:pPr>
      <w:rPr>
        <w:rFonts w:ascii="Symbol" w:hAnsi="Symbol" w:hint="default"/>
      </w:rPr>
    </w:lvl>
    <w:lvl w:ilvl="7" w:tplc="0C090003" w:tentative="1">
      <w:start w:val="1"/>
      <w:numFmt w:val="bullet"/>
      <w:lvlText w:val="o"/>
      <w:lvlJc w:val="left"/>
      <w:pPr>
        <w:ind w:left="5821" w:hanging="360"/>
      </w:pPr>
      <w:rPr>
        <w:rFonts w:ascii="Courier New" w:hAnsi="Courier New" w:cs="Courier New" w:hint="default"/>
      </w:rPr>
    </w:lvl>
    <w:lvl w:ilvl="8" w:tplc="0C090005" w:tentative="1">
      <w:start w:val="1"/>
      <w:numFmt w:val="bullet"/>
      <w:lvlText w:val=""/>
      <w:lvlJc w:val="left"/>
      <w:pPr>
        <w:ind w:left="6541" w:hanging="360"/>
      </w:pPr>
      <w:rPr>
        <w:rFonts w:ascii="Wingdings" w:hAnsi="Wingdings" w:hint="default"/>
      </w:rPr>
    </w:lvl>
  </w:abstractNum>
  <w:abstractNum w:abstractNumId="26" w15:restartNumberingAfterBreak="0">
    <w:nsid w:val="7B6B1995"/>
    <w:multiLevelType w:val="hybridMultilevel"/>
    <w:tmpl w:val="368052D6"/>
    <w:lvl w:ilvl="0" w:tplc="E06E8F24">
      <w:numFmt w:val="bullet"/>
      <w:lvlText w:val=""/>
      <w:lvlJc w:val="left"/>
      <w:pPr>
        <w:ind w:left="720" w:hanging="360"/>
      </w:pPr>
      <w:rPr>
        <w:rFonts w:ascii="Wingdings" w:eastAsiaTheme="minorHAnsi" w:hAnsi="Wingdings"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99269442">
    <w:abstractNumId w:val="13"/>
  </w:num>
  <w:num w:numId="2" w16cid:durableId="1499692897">
    <w:abstractNumId w:val="17"/>
  </w:num>
  <w:num w:numId="3" w16cid:durableId="1345397181">
    <w:abstractNumId w:val="21"/>
  </w:num>
  <w:num w:numId="4" w16cid:durableId="1612662904">
    <w:abstractNumId w:val="9"/>
  </w:num>
  <w:num w:numId="5" w16cid:durableId="356396134">
    <w:abstractNumId w:val="2"/>
  </w:num>
  <w:num w:numId="6" w16cid:durableId="815099657">
    <w:abstractNumId w:val="14"/>
  </w:num>
  <w:num w:numId="7" w16cid:durableId="101464610">
    <w:abstractNumId w:val="22"/>
  </w:num>
  <w:num w:numId="8" w16cid:durableId="1691760714">
    <w:abstractNumId w:val="8"/>
  </w:num>
  <w:num w:numId="9" w16cid:durableId="2121870293">
    <w:abstractNumId w:val="5"/>
  </w:num>
  <w:num w:numId="10" w16cid:durableId="743142110">
    <w:abstractNumId w:val="11"/>
  </w:num>
  <w:num w:numId="11" w16cid:durableId="627778495">
    <w:abstractNumId w:val="19"/>
  </w:num>
  <w:num w:numId="12" w16cid:durableId="2102214932">
    <w:abstractNumId w:val="25"/>
  </w:num>
  <w:num w:numId="13" w16cid:durableId="1209684025">
    <w:abstractNumId w:val="26"/>
  </w:num>
  <w:num w:numId="14" w16cid:durableId="924923312">
    <w:abstractNumId w:val="0"/>
  </w:num>
  <w:num w:numId="15" w16cid:durableId="1525552863">
    <w:abstractNumId w:val="7"/>
  </w:num>
  <w:num w:numId="16" w16cid:durableId="2053339426">
    <w:abstractNumId w:val="16"/>
  </w:num>
  <w:num w:numId="17" w16cid:durableId="1835684451">
    <w:abstractNumId w:val="23"/>
  </w:num>
  <w:num w:numId="18" w16cid:durableId="1232082487">
    <w:abstractNumId w:val="24"/>
  </w:num>
  <w:num w:numId="19" w16cid:durableId="578905776">
    <w:abstractNumId w:val="15"/>
  </w:num>
  <w:num w:numId="20" w16cid:durableId="457457786">
    <w:abstractNumId w:val="12"/>
  </w:num>
  <w:num w:numId="21" w16cid:durableId="1732001214">
    <w:abstractNumId w:val="18"/>
  </w:num>
  <w:num w:numId="22" w16cid:durableId="830026225">
    <w:abstractNumId w:val="6"/>
  </w:num>
  <w:num w:numId="23" w16cid:durableId="1843860071">
    <w:abstractNumId w:val="4"/>
  </w:num>
  <w:num w:numId="24" w16cid:durableId="1325164231">
    <w:abstractNumId w:val="10"/>
  </w:num>
  <w:num w:numId="25" w16cid:durableId="1926960693">
    <w:abstractNumId w:val="3"/>
  </w:num>
  <w:num w:numId="26" w16cid:durableId="1197474939">
    <w:abstractNumId w:val="1"/>
  </w:num>
  <w:num w:numId="27" w16cid:durableId="26518839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4AC"/>
    <w:rsid w:val="000006CA"/>
    <w:rsid w:val="000007F5"/>
    <w:rsid w:val="00000EC9"/>
    <w:rsid w:val="000010AC"/>
    <w:rsid w:val="00002BD8"/>
    <w:rsid w:val="000071AF"/>
    <w:rsid w:val="00010212"/>
    <w:rsid w:val="000124A6"/>
    <w:rsid w:val="00013D9A"/>
    <w:rsid w:val="000474D9"/>
    <w:rsid w:val="00050550"/>
    <w:rsid w:val="000575DB"/>
    <w:rsid w:val="00062684"/>
    <w:rsid w:val="00066C2E"/>
    <w:rsid w:val="0006750D"/>
    <w:rsid w:val="00071C54"/>
    <w:rsid w:val="00071E7C"/>
    <w:rsid w:val="0007402B"/>
    <w:rsid w:val="000841B8"/>
    <w:rsid w:val="0009155B"/>
    <w:rsid w:val="0009217B"/>
    <w:rsid w:val="0009256F"/>
    <w:rsid w:val="000927D2"/>
    <w:rsid w:val="0009711B"/>
    <w:rsid w:val="000A1121"/>
    <w:rsid w:val="000A580B"/>
    <w:rsid w:val="000A5A9D"/>
    <w:rsid w:val="000B070A"/>
    <w:rsid w:val="000D7700"/>
    <w:rsid w:val="000E6D65"/>
    <w:rsid w:val="000F19BA"/>
    <w:rsid w:val="000F2F69"/>
    <w:rsid w:val="000F61C4"/>
    <w:rsid w:val="00100E97"/>
    <w:rsid w:val="00103F41"/>
    <w:rsid w:val="00112FA6"/>
    <w:rsid w:val="0012221D"/>
    <w:rsid w:val="0012676B"/>
    <w:rsid w:val="00127A1C"/>
    <w:rsid w:val="00130C60"/>
    <w:rsid w:val="00131D6B"/>
    <w:rsid w:val="001325B1"/>
    <w:rsid w:val="00136334"/>
    <w:rsid w:val="00144835"/>
    <w:rsid w:val="00150770"/>
    <w:rsid w:val="00155F45"/>
    <w:rsid w:val="00156902"/>
    <w:rsid w:val="00160136"/>
    <w:rsid w:val="00160A1F"/>
    <w:rsid w:val="001614AC"/>
    <w:rsid w:val="00167C67"/>
    <w:rsid w:val="001725A0"/>
    <w:rsid w:val="0018084D"/>
    <w:rsid w:val="00180ADD"/>
    <w:rsid w:val="001863F9"/>
    <w:rsid w:val="00186CD3"/>
    <w:rsid w:val="00192101"/>
    <w:rsid w:val="00192735"/>
    <w:rsid w:val="001936E2"/>
    <w:rsid w:val="00193DB1"/>
    <w:rsid w:val="00194924"/>
    <w:rsid w:val="001A0703"/>
    <w:rsid w:val="001A4565"/>
    <w:rsid w:val="001A52B1"/>
    <w:rsid w:val="001B1B5C"/>
    <w:rsid w:val="001B3A5D"/>
    <w:rsid w:val="001B6047"/>
    <w:rsid w:val="001B7BD0"/>
    <w:rsid w:val="001C4948"/>
    <w:rsid w:val="001C5540"/>
    <w:rsid w:val="001D10EF"/>
    <w:rsid w:val="001D2D29"/>
    <w:rsid w:val="001D37E0"/>
    <w:rsid w:val="001D5FB2"/>
    <w:rsid w:val="001E0788"/>
    <w:rsid w:val="001E1246"/>
    <w:rsid w:val="001E4FD4"/>
    <w:rsid w:val="001E570E"/>
    <w:rsid w:val="001E630D"/>
    <w:rsid w:val="001F2CC9"/>
    <w:rsid w:val="001F5B4E"/>
    <w:rsid w:val="00202B26"/>
    <w:rsid w:val="00204F65"/>
    <w:rsid w:val="00213C11"/>
    <w:rsid w:val="00214CCB"/>
    <w:rsid w:val="00220F65"/>
    <w:rsid w:val="0022561C"/>
    <w:rsid w:val="002340A2"/>
    <w:rsid w:val="002360B3"/>
    <w:rsid w:val="00236281"/>
    <w:rsid w:val="00236C12"/>
    <w:rsid w:val="00242695"/>
    <w:rsid w:val="00250F98"/>
    <w:rsid w:val="00253E1E"/>
    <w:rsid w:val="00260542"/>
    <w:rsid w:val="002640A3"/>
    <w:rsid w:val="00266828"/>
    <w:rsid w:val="00273144"/>
    <w:rsid w:val="00275422"/>
    <w:rsid w:val="0027596D"/>
    <w:rsid w:val="00275BA1"/>
    <w:rsid w:val="00276813"/>
    <w:rsid w:val="00291A0C"/>
    <w:rsid w:val="00294BE7"/>
    <w:rsid w:val="002972EB"/>
    <w:rsid w:val="002A74DF"/>
    <w:rsid w:val="002B1A98"/>
    <w:rsid w:val="002B3A21"/>
    <w:rsid w:val="002B51E4"/>
    <w:rsid w:val="002C2F0F"/>
    <w:rsid w:val="002C4B64"/>
    <w:rsid w:val="002C5E6C"/>
    <w:rsid w:val="002D0852"/>
    <w:rsid w:val="002D2C2F"/>
    <w:rsid w:val="002D56DF"/>
    <w:rsid w:val="002E0A0A"/>
    <w:rsid w:val="002E1EE0"/>
    <w:rsid w:val="002F199B"/>
    <w:rsid w:val="002F489A"/>
    <w:rsid w:val="003013EA"/>
    <w:rsid w:val="0030684C"/>
    <w:rsid w:val="00317EF1"/>
    <w:rsid w:val="00327A25"/>
    <w:rsid w:val="00330DCE"/>
    <w:rsid w:val="00335D46"/>
    <w:rsid w:val="00336956"/>
    <w:rsid w:val="00341CC5"/>
    <w:rsid w:val="00342768"/>
    <w:rsid w:val="00345DA5"/>
    <w:rsid w:val="00351F0A"/>
    <w:rsid w:val="00354255"/>
    <w:rsid w:val="00361D67"/>
    <w:rsid w:val="00363489"/>
    <w:rsid w:val="003662F2"/>
    <w:rsid w:val="00366565"/>
    <w:rsid w:val="0037193C"/>
    <w:rsid w:val="003740D8"/>
    <w:rsid w:val="003760B9"/>
    <w:rsid w:val="00380237"/>
    <w:rsid w:val="00383EF3"/>
    <w:rsid w:val="00384089"/>
    <w:rsid w:val="00384395"/>
    <w:rsid w:val="00384ED8"/>
    <w:rsid w:val="003904BD"/>
    <w:rsid w:val="0039210A"/>
    <w:rsid w:val="003921F3"/>
    <w:rsid w:val="00392560"/>
    <w:rsid w:val="00394BCD"/>
    <w:rsid w:val="0039588B"/>
    <w:rsid w:val="003A17F4"/>
    <w:rsid w:val="003A1E2F"/>
    <w:rsid w:val="003A3348"/>
    <w:rsid w:val="003B2BB8"/>
    <w:rsid w:val="003B6C1F"/>
    <w:rsid w:val="003B6D96"/>
    <w:rsid w:val="003C2A62"/>
    <w:rsid w:val="003C481A"/>
    <w:rsid w:val="003C55CC"/>
    <w:rsid w:val="003C5FC6"/>
    <w:rsid w:val="003C6714"/>
    <w:rsid w:val="003D0EE4"/>
    <w:rsid w:val="003D34FF"/>
    <w:rsid w:val="003D7028"/>
    <w:rsid w:val="003D7D6E"/>
    <w:rsid w:val="003E422E"/>
    <w:rsid w:val="003E4D28"/>
    <w:rsid w:val="003E5C6C"/>
    <w:rsid w:val="003E6DED"/>
    <w:rsid w:val="004052AA"/>
    <w:rsid w:val="004119D5"/>
    <w:rsid w:val="00412E14"/>
    <w:rsid w:val="004157C5"/>
    <w:rsid w:val="0042670B"/>
    <w:rsid w:val="00435AAF"/>
    <w:rsid w:val="00435ECE"/>
    <w:rsid w:val="004371EC"/>
    <w:rsid w:val="00443271"/>
    <w:rsid w:val="004464E2"/>
    <w:rsid w:val="00446A0E"/>
    <w:rsid w:val="0045048E"/>
    <w:rsid w:val="0045373E"/>
    <w:rsid w:val="00456726"/>
    <w:rsid w:val="00461618"/>
    <w:rsid w:val="004649CD"/>
    <w:rsid w:val="004669A6"/>
    <w:rsid w:val="00466FCB"/>
    <w:rsid w:val="00471B20"/>
    <w:rsid w:val="00476D31"/>
    <w:rsid w:val="00481464"/>
    <w:rsid w:val="00484E8E"/>
    <w:rsid w:val="00485AF8"/>
    <w:rsid w:val="0049016F"/>
    <w:rsid w:val="00494899"/>
    <w:rsid w:val="00494CD3"/>
    <w:rsid w:val="004960F1"/>
    <w:rsid w:val="004A4AD0"/>
    <w:rsid w:val="004B074F"/>
    <w:rsid w:val="004B0CA8"/>
    <w:rsid w:val="004B5229"/>
    <w:rsid w:val="004B54CA"/>
    <w:rsid w:val="004B6DB2"/>
    <w:rsid w:val="004C0431"/>
    <w:rsid w:val="004C37DE"/>
    <w:rsid w:val="004C71C7"/>
    <w:rsid w:val="004C7649"/>
    <w:rsid w:val="004D26D0"/>
    <w:rsid w:val="004D3705"/>
    <w:rsid w:val="004D622C"/>
    <w:rsid w:val="004D668D"/>
    <w:rsid w:val="004E05A7"/>
    <w:rsid w:val="004E21DE"/>
    <w:rsid w:val="004E3EFC"/>
    <w:rsid w:val="004E5210"/>
    <w:rsid w:val="004E5CBF"/>
    <w:rsid w:val="004E5E5B"/>
    <w:rsid w:val="004E6CFB"/>
    <w:rsid w:val="004E75E5"/>
    <w:rsid w:val="004F0A63"/>
    <w:rsid w:val="004F0EEE"/>
    <w:rsid w:val="004F25B2"/>
    <w:rsid w:val="004F471E"/>
    <w:rsid w:val="004F4937"/>
    <w:rsid w:val="004F57A4"/>
    <w:rsid w:val="005006E6"/>
    <w:rsid w:val="00501D92"/>
    <w:rsid w:val="00507D92"/>
    <w:rsid w:val="00507ECA"/>
    <w:rsid w:val="00511835"/>
    <w:rsid w:val="005123F3"/>
    <w:rsid w:val="005160AB"/>
    <w:rsid w:val="005170BF"/>
    <w:rsid w:val="0051785F"/>
    <w:rsid w:val="005229D5"/>
    <w:rsid w:val="00524EE7"/>
    <w:rsid w:val="00527B2D"/>
    <w:rsid w:val="00530108"/>
    <w:rsid w:val="00531F0D"/>
    <w:rsid w:val="00533152"/>
    <w:rsid w:val="0054415E"/>
    <w:rsid w:val="00551C49"/>
    <w:rsid w:val="005553B3"/>
    <w:rsid w:val="0055580A"/>
    <w:rsid w:val="00555FE2"/>
    <w:rsid w:val="0056090A"/>
    <w:rsid w:val="00562A18"/>
    <w:rsid w:val="005647D2"/>
    <w:rsid w:val="00567412"/>
    <w:rsid w:val="00567A69"/>
    <w:rsid w:val="00573BFA"/>
    <w:rsid w:val="00573E08"/>
    <w:rsid w:val="005810FA"/>
    <w:rsid w:val="0058551F"/>
    <w:rsid w:val="00586198"/>
    <w:rsid w:val="005903F3"/>
    <w:rsid w:val="0059060D"/>
    <w:rsid w:val="00590CDA"/>
    <w:rsid w:val="00593C58"/>
    <w:rsid w:val="00597CC5"/>
    <w:rsid w:val="005A3955"/>
    <w:rsid w:val="005B7643"/>
    <w:rsid w:val="005C1BD7"/>
    <w:rsid w:val="005C3AA9"/>
    <w:rsid w:val="005C749A"/>
    <w:rsid w:val="005C7656"/>
    <w:rsid w:val="005C7722"/>
    <w:rsid w:val="005E17EA"/>
    <w:rsid w:val="005E1C16"/>
    <w:rsid w:val="005E347E"/>
    <w:rsid w:val="005E5CDD"/>
    <w:rsid w:val="005E696D"/>
    <w:rsid w:val="005F3E20"/>
    <w:rsid w:val="005F4DB4"/>
    <w:rsid w:val="005F713F"/>
    <w:rsid w:val="00601539"/>
    <w:rsid w:val="00603126"/>
    <w:rsid w:val="00607E7F"/>
    <w:rsid w:val="006127A7"/>
    <w:rsid w:val="0061567D"/>
    <w:rsid w:val="006215A6"/>
    <w:rsid w:val="00624E04"/>
    <w:rsid w:val="006271B3"/>
    <w:rsid w:val="0063387F"/>
    <w:rsid w:val="00635018"/>
    <w:rsid w:val="0063591D"/>
    <w:rsid w:val="0064327E"/>
    <w:rsid w:val="00647B4B"/>
    <w:rsid w:val="0065093B"/>
    <w:rsid w:val="006515A4"/>
    <w:rsid w:val="00651CFB"/>
    <w:rsid w:val="006565AE"/>
    <w:rsid w:val="00660F9F"/>
    <w:rsid w:val="006673CD"/>
    <w:rsid w:val="0067176E"/>
    <w:rsid w:val="00673D3D"/>
    <w:rsid w:val="0067695A"/>
    <w:rsid w:val="00680525"/>
    <w:rsid w:val="006808FD"/>
    <w:rsid w:val="006840C0"/>
    <w:rsid w:val="00693C36"/>
    <w:rsid w:val="006954EA"/>
    <w:rsid w:val="006A2920"/>
    <w:rsid w:val="006A4CE7"/>
    <w:rsid w:val="006A5080"/>
    <w:rsid w:val="006A77C3"/>
    <w:rsid w:val="006B1523"/>
    <w:rsid w:val="006B6DE2"/>
    <w:rsid w:val="006C2423"/>
    <w:rsid w:val="006D00C8"/>
    <w:rsid w:val="006D0DAD"/>
    <w:rsid w:val="006D28BE"/>
    <w:rsid w:val="006D53E3"/>
    <w:rsid w:val="006D65F9"/>
    <w:rsid w:val="006D6D0D"/>
    <w:rsid w:val="006E159F"/>
    <w:rsid w:val="006E28B9"/>
    <w:rsid w:val="006E3979"/>
    <w:rsid w:val="006E7B43"/>
    <w:rsid w:val="006F1BA2"/>
    <w:rsid w:val="006F5CF2"/>
    <w:rsid w:val="007036B9"/>
    <w:rsid w:val="00703D35"/>
    <w:rsid w:val="00703F8B"/>
    <w:rsid w:val="00705DFC"/>
    <w:rsid w:val="00706606"/>
    <w:rsid w:val="00711165"/>
    <w:rsid w:val="00717214"/>
    <w:rsid w:val="00722F1B"/>
    <w:rsid w:val="00725C50"/>
    <w:rsid w:val="007303C8"/>
    <w:rsid w:val="007312EF"/>
    <w:rsid w:val="00733DA9"/>
    <w:rsid w:val="00736A78"/>
    <w:rsid w:val="00741B5C"/>
    <w:rsid w:val="00744E00"/>
    <w:rsid w:val="0074527B"/>
    <w:rsid w:val="00745EA9"/>
    <w:rsid w:val="00751C9F"/>
    <w:rsid w:val="0075272E"/>
    <w:rsid w:val="0075412A"/>
    <w:rsid w:val="00755A94"/>
    <w:rsid w:val="00757931"/>
    <w:rsid w:val="00762E7D"/>
    <w:rsid w:val="007630B8"/>
    <w:rsid w:val="00777663"/>
    <w:rsid w:val="00777E2D"/>
    <w:rsid w:val="00780BCF"/>
    <w:rsid w:val="00782D6A"/>
    <w:rsid w:val="00785261"/>
    <w:rsid w:val="00786B7D"/>
    <w:rsid w:val="00794298"/>
    <w:rsid w:val="007A2C6C"/>
    <w:rsid w:val="007A2EC3"/>
    <w:rsid w:val="007A38A4"/>
    <w:rsid w:val="007A6683"/>
    <w:rsid w:val="007A72C4"/>
    <w:rsid w:val="007A771E"/>
    <w:rsid w:val="007B0256"/>
    <w:rsid w:val="007B0B81"/>
    <w:rsid w:val="007B115E"/>
    <w:rsid w:val="007B1915"/>
    <w:rsid w:val="007B5D0C"/>
    <w:rsid w:val="007C31FB"/>
    <w:rsid w:val="007C556C"/>
    <w:rsid w:val="007D3AB9"/>
    <w:rsid w:val="007D48E2"/>
    <w:rsid w:val="007D64C4"/>
    <w:rsid w:val="007E1E5E"/>
    <w:rsid w:val="007F35A7"/>
    <w:rsid w:val="007F5FE6"/>
    <w:rsid w:val="007F6AA1"/>
    <w:rsid w:val="008049C2"/>
    <w:rsid w:val="00807A0C"/>
    <w:rsid w:val="00810F0C"/>
    <w:rsid w:val="00816661"/>
    <w:rsid w:val="00817D93"/>
    <w:rsid w:val="0082167E"/>
    <w:rsid w:val="00822C87"/>
    <w:rsid w:val="008305F8"/>
    <w:rsid w:val="008319BB"/>
    <w:rsid w:val="0083281F"/>
    <w:rsid w:val="00834AC4"/>
    <w:rsid w:val="0085564B"/>
    <w:rsid w:val="00864918"/>
    <w:rsid w:val="00871D8F"/>
    <w:rsid w:val="008725AE"/>
    <w:rsid w:val="00874CF5"/>
    <w:rsid w:val="00875E28"/>
    <w:rsid w:val="00883DD3"/>
    <w:rsid w:val="00883E91"/>
    <w:rsid w:val="00893A3D"/>
    <w:rsid w:val="00897CA0"/>
    <w:rsid w:val="008A0ACE"/>
    <w:rsid w:val="008A0DF7"/>
    <w:rsid w:val="008A3260"/>
    <w:rsid w:val="008A467D"/>
    <w:rsid w:val="008A6CC9"/>
    <w:rsid w:val="008A74C7"/>
    <w:rsid w:val="008A7CA9"/>
    <w:rsid w:val="008B05A4"/>
    <w:rsid w:val="008B6C39"/>
    <w:rsid w:val="008B7E7E"/>
    <w:rsid w:val="008C01FA"/>
    <w:rsid w:val="008C4617"/>
    <w:rsid w:val="008D4BAC"/>
    <w:rsid w:val="008D760D"/>
    <w:rsid w:val="008E39CA"/>
    <w:rsid w:val="008F2257"/>
    <w:rsid w:val="008F22BA"/>
    <w:rsid w:val="008F5312"/>
    <w:rsid w:val="00904263"/>
    <w:rsid w:val="00910432"/>
    <w:rsid w:val="009108D1"/>
    <w:rsid w:val="00917161"/>
    <w:rsid w:val="009225F0"/>
    <w:rsid w:val="009269A8"/>
    <w:rsid w:val="00930D21"/>
    <w:rsid w:val="0093264F"/>
    <w:rsid w:val="009346E4"/>
    <w:rsid w:val="009349BA"/>
    <w:rsid w:val="00944AA2"/>
    <w:rsid w:val="0094756E"/>
    <w:rsid w:val="00951E31"/>
    <w:rsid w:val="00952554"/>
    <w:rsid w:val="00954908"/>
    <w:rsid w:val="00957DB3"/>
    <w:rsid w:val="00963B63"/>
    <w:rsid w:val="00966359"/>
    <w:rsid w:val="00974EB1"/>
    <w:rsid w:val="00974FB2"/>
    <w:rsid w:val="00980A0F"/>
    <w:rsid w:val="0098111A"/>
    <w:rsid w:val="00983A75"/>
    <w:rsid w:val="00984171"/>
    <w:rsid w:val="009853FB"/>
    <w:rsid w:val="00985ACF"/>
    <w:rsid w:val="00986B5B"/>
    <w:rsid w:val="00991B7D"/>
    <w:rsid w:val="00992C3B"/>
    <w:rsid w:val="00992F23"/>
    <w:rsid w:val="009A63DD"/>
    <w:rsid w:val="009B541A"/>
    <w:rsid w:val="009B6093"/>
    <w:rsid w:val="009C60F8"/>
    <w:rsid w:val="009C61ED"/>
    <w:rsid w:val="009D0572"/>
    <w:rsid w:val="009E1531"/>
    <w:rsid w:val="009E5E98"/>
    <w:rsid w:val="009E67A6"/>
    <w:rsid w:val="009E752C"/>
    <w:rsid w:val="009F4083"/>
    <w:rsid w:val="00A04E21"/>
    <w:rsid w:val="00A0706D"/>
    <w:rsid w:val="00A10395"/>
    <w:rsid w:val="00A10823"/>
    <w:rsid w:val="00A12C58"/>
    <w:rsid w:val="00A13104"/>
    <w:rsid w:val="00A13327"/>
    <w:rsid w:val="00A162A7"/>
    <w:rsid w:val="00A16D3F"/>
    <w:rsid w:val="00A23234"/>
    <w:rsid w:val="00A30D69"/>
    <w:rsid w:val="00A32339"/>
    <w:rsid w:val="00A4136F"/>
    <w:rsid w:val="00A51E2F"/>
    <w:rsid w:val="00A60A9E"/>
    <w:rsid w:val="00A62E21"/>
    <w:rsid w:val="00A702BF"/>
    <w:rsid w:val="00A73108"/>
    <w:rsid w:val="00A74BF9"/>
    <w:rsid w:val="00A75261"/>
    <w:rsid w:val="00A828B1"/>
    <w:rsid w:val="00A83C4E"/>
    <w:rsid w:val="00A85ACE"/>
    <w:rsid w:val="00A85E1F"/>
    <w:rsid w:val="00A9327D"/>
    <w:rsid w:val="00AA0272"/>
    <w:rsid w:val="00AA36EC"/>
    <w:rsid w:val="00AA382C"/>
    <w:rsid w:val="00AA73DD"/>
    <w:rsid w:val="00AB336F"/>
    <w:rsid w:val="00AB384E"/>
    <w:rsid w:val="00AC0C78"/>
    <w:rsid w:val="00AD085F"/>
    <w:rsid w:val="00AD1276"/>
    <w:rsid w:val="00AD318E"/>
    <w:rsid w:val="00AD55F5"/>
    <w:rsid w:val="00AE3F70"/>
    <w:rsid w:val="00AE4F24"/>
    <w:rsid w:val="00AE54E0"/>
    <w:rsid w:val="00AE5A74"/>
    <w:rsid w:val="00AE6F11"/>
    <w:rsid w:val="00AE7C8A"/>
    <w:rsid w:val="00AF34D1"/>
    <w:rsid w:val="00AF6DDF"/>
    <w:rsid w:val="00AF7B22"/>
    <w:rsid w:val="00B07096"/>
    <w:rsid w:val="00B10679"/>
    <w:rsid w:val="00B2598A"/>
    <w:rsid w:val="00B25C98"/>
    <w:rsid w:val="00B27002"/>
    <w:rsid w:val="00B32FBF"/>
    <w:rsid w:val="00B332D7"/>
    <w:rsid w:val="00B41557"/>
    <w:rsid w:val="00B44EF5"/>
    <w:rsid w:val="00B4602A"/>
    <w:rsid w:val="00B52CA3"/>
    <w:rsid w:val="00B56CA2"/>
    <w:rsid w:val="00B629A8"/>
    <w:rsid w:val="00B80212"/>
    <w:rsid w:val="00B80219"/>
    <w:rsid w:val="00B802CF"/>
    <w:rsid w:val="00B81275"/>
    <w:rsid w:val="00B8232B"/>
    <w:rsid w:val="00B847B7"/>
    <w:rsid w:val="00B92C57"/>
    <w:rsid w:val="00B96075"/>
    <w:rsid w:val="00B96B6E"/>
    <w:rsid w:val="00BA2996"/>
    <w:rsid w:val="00BA2DB9"/>
    <w:rsid w:val="00BA366C"/>
    <w:rsid w:val="00BA6019"/>
    <w:rsid w:val="00BA70EC"/>
    <w:rsid w:val="00BB34E6"/>
    <w:rsid w:val="00BB6818"/>
    <w:rsid w:val="00BB6A87"/>
    <w:rsid w:val="00BB72E5"/>
    <w:rsid w:val="00BB7CEC"/>
    <w:rsid w:val="00BC19CB"/>
    <w:rsid w:val="00BC6C28"/>
    <w:rsid w:val="00BC7CE2"/>
    <w:rsid w:val="00BC7DD2"/>
    <w:rsid w:val="00BD3116"/>
    <w:rsid w:val="00BD5F70"/>
    <w:rsid w:val="00BE0CB3"/>
    <w:rsid w:val="00BE1D3D"/>
    <w:rsid w:val="00BE45EC"/>
    <w:rsid w:val="00BE7148"/>
    <w:rsid w:val="00BE7DA6"/>
    <w:rsid w:val="00BF243A"/>
    <w:rsid w:val="00C00EF7"/>
    <w:rsid w:val="00C03108"/>
    <w:rsid w:val="00C04D67"/>
    <w:rsid w:val="00C07387"/>
    <w:rsid w:val="00C106F8"/>
    <w:rsid w:val="00C10CCF"/>
    <w:rsid w:val="00C13A10"/>
    <w:rsid w:val="00C16B4C"/>
    <w:rsid w:val="00C17885"/>
    <w:rsid w:val="00C24E76"/>
    <w:rsid w:val="00C26D15"/>
    <w:rsid w:val="00C308FA"/>
    <w:rsid w:val="00C33AB4"/>
    <w:rsid w:val="00C37952"/>
    <w:rsid w:val="00C42981"/>
    <w:rsid w:val="00C4699E"/>
    <w:rsid w:val="00C47027"/>
    <w:rsid w:val="00C4742F"/>
    <w:rsid w:val="00C571BF"/>
    <w:rsid w:val="00C62F15"/>
    <w:rsid w:val="00C62F1A"/>
    <w:rsid w:val="00C6598F"/>
    <w:rsid w:val="00C71E26"/>
    <w:rsid w:val="00C73C66"/>
    <w:rsid w:val="00C812DC"/>
    <w:rsid w:val="00C81488"/>
    <w:rsid w:val="00C81611"/>
    <w:rsid w:val="00C84E30"/>
    <w:rsid w:val="00C850D0"/>
    <w:rsid w:val="00C86B7F"/>
    <w:rsid w:val="00C95C4E"/>
    <w:rsid w:val="00C95CDC"/>
    <w:rsid w:val="00C973B7"/>
    <w:rsid w:val="00CA2164"/>
    <w:rsid w:val="00CB50AF"/>
    <w:rsid w:val="00CC381F"/>
    <w:rsid w:val="00CC4444"/>
    <w:rsid w:val="00CC6978"/>
    <w:rsid w:val="00CD1245"/>
    <w:rsid w:val="00CD12FB"/>
    <w:rsid w:val="00CD1EE0"/>
    <w:rsid w:val="00CD4C99"/>
    <w:rsid w:val="00CE75C9"/>
    <w:rsid w:val="00CF1AE9"/>
    <w:rsid w:val="00CF4EA3"/>
    <w:rsid w:val="00D0327F"/>
    <w:rsid w:val="00D10B32"/>
    <w:rsid w:val="00D14944"/>
    <w:rsid w:val="00D165BE"/>
    <w:rsid w:val="00D27795"/>
    <w:rsid w:val="00D3141A"/>
    <w:rsid w:val="00D350E5"/>
    <w:rsid w:val="00D3549F"/>
    <w:rsid w:val="00D45FC4"/>
    <w:rsid w:val="00D507EF"/>
    <w:rsid w:val="00D50D73"/>
    <w:rsid w:val="00D53189"/>
    <w:rsid w:val="00D5650E"/>
    <w:rsid w:val="00D63EB5"/>
    <w:rsid w:val="00D654AD"/>
    <w:rsid w:val="00D65E91"/>
    <w:rsid w:val="00D66846"/>
    <w:rsid w:val="00D7389A"/>
    <w:rsid w:val="00D73945"/>
    <w:rsid w:val="00D739F1"/>
    <w:rsid w:val="00D75667"/>
    <w:rsid w:val="00D82AD0"/>
    <w:rsid w:val="00D9142F"/>
    <w:rsid w:val="00D9440D"/>
    <w:rsid w:val="00D949CD"/>
    <w:rsid w:val="00D94F0E"/>
    <w:rsid w:val="00DA0060"/>
    <w:rsid w:val="00DB1C40"/>
    <w:rsid w:val="00DB314A"/>
    <w:rsid w:val="00DB39A4"/>
    <w:rsid w:val="00DB5728"/>
    <w:rsid w:val="00DB6832"/>
    <w:rsid w:val="00DC5B62"/>
    <w:rsid w:val="00DC7F09"/>
    <w:rsid w:val="00DD3032"/>
    <w:rsid w:val="00DD5BCC"/>
    <w:rsid w:val="00DD5C38"/>
    <w:rsid w:val="00DE1F88"/>
    <w:rsid w:val="00DE5E42"/>
    <w:rsid w:val="00DE7C27"/>
    <w:rsid w:val="00DF60C6"/>
    <w:rsid w:val="00DF6EB3"/>
    <w:rsid w:val="00E00AAF"/>
    <w:rsid w:val="00E0130E"/>
    <w:rsid w:val="00E14D40"/>
    <w:rsid w:val="00E20D58"/>
    <w:rsid w:val="00E2709E"/>
    <w:rsid w:val="00E27280"/>
    <w:rsid w:val="00E34B6D"/>
    <w:rsid w:val="00E47997"/>
    <w:rsid w:val="00E52EA6"/>
    <w:rsid w:val="00E54327"/>
    <w:rsid w:val="00E61154"/>
    <w:rsid w:val="00E61878"/>
    <w:rsid w:val="00E620BB"/>
    <w:rsid w:val="00E6322B"/>
    <w:rsid w:val="00E73B90"/>
    <w:rsid w:val="00E754CD"/>
    <w:rsid w:val="00E8101B"/>
    <w:rsid w:val="00E83D98"/>
    <w:rsid w:val="00E83DF6"/>
    <w:rsid w:val="00E859FE"/>
    <w:rsid w:val="00E8706D"/>
    <w:rsid w:val="00EA2188"/>
    <w:rsid w:val="00EA3994"/>
    <w:rsid w:val="00EA3BEF"/>
    <w:rsid w:val="00EB04A4"/>
    <w:rsid w:val="00EB4406"/>
    <w:rsid w:val="00EB58C7"/>
    <w:rsid w:val="00EB6759"/>
    <w:rsid w:val="00EC09D0"/>
    <w:rsid w:val="00EC440E"/>
    <w:rsid w:val="00EE5B4A"/>
    <w:rsid w:val="00EE6A09"/>
    <w:rsid w:val="00EE7405"/>
    <w:rsid w:val="00EE7D55"/>
    <w:rsid w:val="00EF0DF5"/>
    <w:rsid w:val="00EF298D"/>
    <w:rsid w:val="00EF5588"/>
    <w:rsid w:val="00EF5755"/>
    <w:rsid w:val="00EF7A6A"/>
    <w:rsid w:val="00F01A47"/>
    <w:rsid w:val="00F02C27"/>
    <w:rsid w:val="00F108B5"/>
    <w:rsid w:val="00F116F4"/>
    <w:rsid w:val="00F16ADD"/>
    <w:rsid w:val="00F16F84"/>
    <w:rsid w:val="00F30AD9"/>
    <w:rsid w:val="00F30C3C"/>
    <w:rsid w:val="00F331E1"/>
    <w:rsid w:val="00F34AEA"/>
    <w:rsid w:val="00F356F2"/>
    <w:rsid w:val="00F35DB2"/>
    <w:rsid w:val="00F37F11"/>
    <w:rsid w:val="00F456B3"/>
    <w:rsid w:val="00F45F56"/>
    <w:rsid w:val="00F46D38"/>
    <w:rsid w:val="00F46DE5"/>
    <w:rsid w:val="00F502CD"/>
    <w:rsid w:val="00F54912"/>
    <w:rsid w:val="00F602EE"/>
    <w:rsid w:val="00F6254B"/>
    <w:rsid w:val="00F72D43"/>
    <w:rsid w:val="00F75619"/>
    <w:rsid w:val="00F907CF"/>
    <w:rsid w:val="00F90AC2"/>
    <w:rsid w:val="00FA510A"/>
    <w:rsid w:val="00FA66E7"/>
    <w:rsid w:val="00FB141A"/>
    <w:rsid w:val="00FB25AD"/>
    <w:rsid w:val="00FB5587"/>
    <w:rsid w:val="00FB56D4"/>
    <w:rsid w:val="00FB7EEB"/>
    <w:rsid w:val="00FC01E6"/>
    <w:rsid w:val="00FC1563"/>
    <w:rsid w:val="00FD7705"/>
    <w:rsid w:val="00FE60DB"/>
    <w:rsid w:val="00FE6BE5"/>
    <w:rsid w:val="00FF3951"/>
    <w:rsid w:val="00FF7BD7"/>
    <w:rsid w:val="00FF7F13"/>
    <w:rsid w:val="03A03315"/>
    <w:rsid w:val="04F7CD0E"/>
    <w:rsid w:val="0A2D7977"/>
    <w:rsid w:val="24DFC5D8"/>
    <w:rsid w:val="2F13D302"/>
    <w:rsid w:val="36704DAD"/>
    <w:rsid w:val="474F7E9D"/>
    <w:rsid w:val="4FBE1FE4"/>
    <w:rsid w:val="5681CB90"/>
    <w:rsid w:val="5F317E96"/>
    <w:rsid w:val="6723D30F"/>
    <w:rsid w:val="797593CC"/>
    <w:rsid w:val="7A8EDB3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3F310A8"/>
  <w15:docId w15:val="{246820F0-03C4-4F34-9924-2584C67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CC9"/>
    <w:pPr>
      <w:spacing w:after="200" w:line="276" w:lineRule="auto"/>
    </w:pPr>
    <w:rPr>
      <w:rFonts w:ascii="Arial" w:hAnsi="Arial"/>
      <w:sz w:val="22"/>
      <w:szCs w:val="22"/>
      <w:lang w:eastAsia="en-US"/>
    </w:rPr>
  </w:style>
  <w:style w:type="paragraph" w:styleId="Heading1">
    <w:name w:val="heading 1"/>
    <w:basedOn w:val="Normal"/>
    <w:next w:val="Normal"/>
    <w:link w:val="Heading1Char"/>
    <w:uiPriority w:val="99"/>
    <w:qFormat/>
    <w:rsid w:val="004B54CA"/>
    <w:pPr>
      <w:spacing w:before="480" w:after="0"/>
      <w:contextualSpacing/>
      <w:outlineLvl w:val="0"/>
    </w:pPr>
    <w:rPr>
      <w:rFonts w:eastAsia="MS Gothic"/>
      <w:b/>
      <w:bCs/>
      <w:sz w:val="32"/>
      <w:szCs w:val="28"/>
    </w:rPr>
  </w:style>
  <w:style w:type="paragraph" w:styleId="Heading2">
    <w:name w:val="heading 2"/>
    <w:basedOn w:val="Normal"/>
    <w:next w:val="Normal"/>
    <w:link w:val="Heading2Char"/>
    <w:uiPriority w:val="99"/>
    <w:qFormat/>
    <w:rsid w:val="004B54CA"/>
    <w:pPr>
      <w:spacing w:before="200" w:after="0"/>
      <w:outlineLvl w:val="1"/>
    </w:pPr>
    <w:rPr>
      <w:rFonts w:eastAsia="MS Gothic"/>
      <w:b/>
      <w:bCs/>
      <w:sz w:val="26"/>
      <w:szCs w:val="26"/>
    </w:rPr>
  </w:style>
  <w:style w:type="paragraph" w:styleId="Heading3">
    <w:name w:val="heading 3"/>
    <w:basedOn w:val="Normal"/>
    <w:next w:val="Normal"/>
    <w:link w:val="Heading3Char"/>
    <w:uiPriority w:val="99"/>
    <w:qFormat/>
    <w:rsid w:val="004B54CA"/>
    <w:pPr>
      <w:spacing w:before="200" w:after="0" w:line="271" w:lineRule="auto"/>
      <w:outlineLvl w:val="2"/>
    </w:pPr>
    <w:rPr>
      <w:rFonts w:eastAsia="MS Gothic"/>
      <w:b/>
      <w:bCs/>
    </w:rPr>
  </w:style>
  <w:style w:type="paragraph" w:styleId="Heading4">
    <w:name w:val="heading 4"/>
    <w:basedOn w:val="Normal"/>
    <w:next w:val="Normal"/>
    <w:link w:val="Heading4Char"/>
    <w:uiPriority w:val="99"/>
    <w:qFormat/>
    <w:rsid w:val="004B54CA"/>
    <w:pPr>
      <w:spacing w:before="200" w:after="0"/>
      <w:outlineLvl w:val="3"/>
    </w:pPr>
    <w:rPr>
      <w:rFonts w:eastAsia="MS Gothic"/>
      <w:b/>
      <w:bCs/>
      <w:i/>
      <w:iCs/>
    </w:rPr>
  </w:style>
  <w:style w:type="paragraph" w:styleId="Heading5">
    <w:name w:val="heading 5"/>
    <w:basedOn w:val="Normal"/>
    <w:next w:val="Normal"/>
    <w:link w:val="Heading5Char"/>
    <w:uiPriority w:val="99"/>
    <w:qFormat/>
    <w:rsid w:val="004B54CA"/>
    <w:pPr>
      <w:spacing w:before="200" w:after="0"/>
      <w:outlineLvl w:val="4"/>
    </w:pPr>
    <w:rPr>
      <w:rFonts w:eastAsia="MS Gothic"/>
      <w:b/>
      <w:bCs/>
      <w:color w:val="7F7F7F"/>
    </w:rPr>
  </w:style>
  <w:style w:type="paragraph" w:styleId="Heading6">
    <w:name w:val="heading 6"/>
    <w:basedOn w:val="Normal"/>
    <w:next w:val="Normal"/>
    <w:link w:val="Heading6Char"/>
    <w:uiPriority w:val="99"/>
    <w:qFormat/>
    <w:rsid w:val="004B54CA"/>
    <w:pPr>
      <w:spacing w:after="0" w:line="271" w:lineRule="auto"/>
      <w:outlineLvl w:val="5"/>
    </w:pPr>
    <w:rPr>
      <w:rFonts w:eastAsia="MS Gothic"/>
      <w:b/>
      <w:bCs/>
      <w:i/>
      <w:iCs/>
      <w:color w:val="7F7F7F"/>
    </w:rPr>
  </w:style>
  <w:style w:type="paragraph" w:styleId="Heading7">
    <w:name w:val="heading 7"/>
    <w:basedOn w:val="Normal"/>
    <w:next w:val="Normal"/>
    <w:link w:val="Heading7Char"/>
    <w:uiPriority w:val="99"/>
    <w:qFormat/>
    <w:rsid w:val="004B54CA"/>
    <w:pPr>
      <w:spacing w:after="0"/>
      <w:outlineLvl w:val="6"/>
    </w:pPr>
    <w:rPr>
      <w:rFonts w:eastAsia="MS Gothic"/>
      <w:i/>
      <w:iCs/>
    </w:rPr>
  </w:style>
  <w:style w:type="paragraph" w:styleId="Heading8">
    <w:name w:val="heading 8"/>
    <w:basedOn w:val="Normal"/>
    <w:next w:val="Normal"/>
    <w:link w:val="Heading8Char"/>
    <w:uiPriority w:val="99"/>
    <w:qFormat/>
    <w:rsid w:val="004B54CA"/>
    <w:pPr>
      <w:spacing w:after="0"/>
      <w:outlineLvl w:val="7"/>
    </w:pPr>
    <w:rPr>
      <w:rFonts w:eastAsia="MS Gothic"/>
      <w:sz w:val="20"/>
      <w:szCs w:val="20"/>
    </w:rPr>
  </w:style>
  <w:style w:type="paragraph" w:styleId="Heading9">
    <w:name w:val="heading 9"/>
    <w:basedOn w:val="Normal"/>
    <w:next w:val="Normal"/>
    <w:link w:val="Heading9Char"/>
    <w:uiPriority w:val="99"/>
    <w:qFormat/>
    <w:rsid w:val="004B54CA"/>
    <w:pPr>
      <w:spacing w:after="0"/>
      <w:outlineLvl w:val="8"/>
    </w:pPr>
    <w:rPr>
      <w:rFonts w:eastAsia="MS Gothic"/>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B54CA"/>
    <w:rPr>
      <w:rFonts w:ascii="Arial" w:eastAsia="MS Gothic" w:hAnsi="Arial" w:cs="Times New Roman"/>
      <w:b/>
      <w:bCs/>
      <w:sz w:val="28"/>
      <w:szCs w:val="28"/>
    </w:rPr>
  </w:style>
  <w:style w:type="character" w:customStyle="1" w:styleId="Heading2Char">
    <w:name w:val="Heading 2 Char"/>
    <w:link w:val="Heading2"/>
    <w:uiPriority w:val="9"/>
    <w:locked/>
    <w:rsid w:val="004B54CA"/>
    <w:rPr>
      <w:rFonts w:ascii="Arial" w:eastAsia="MS Gothic" w:hAnsi="Arial" w:cs="Times New Roman"/>
      <w:b/>
      <w:bCs/>
      <w:sz w:val="26"/>
      <w:szCs w:val="26"/>
    </w:rPr>
  </w:style>
  <w:style w:type="character" w:customStyle="1" w:styleId="Heading3Char">
    <w:name w:val="Heading 3 Char"/>
    <w:link w:val="Heading3"/>
    <w:uiPriority w:val="99"/>
    <w:locked/>
    <w:rsid w:val="004B54CA"/>
    <w:rPr>
      <w:rFonts w:ascii="Arial" w:eastAsia="MS Gothic" w:hAnsi="Arial" w:cs="Times New Roman"/>
      <w:b/>
      <w:bCs/>
    </w:rPr>
  </w:style>
  <w:style w:type="character" w:customStyle="1" w:styleId="Heading4Char">
    <w:name w:val="Heading 4 Char"/>
    <w:link w:val="Heading4"/>
    <w:uiPriority w:val="99"/>
    <w:locked/>
    <w:rsid w:val="004B54CA"/>
    <w:rPr>
      <w:rFonts w:ascii="Arial" w:eastAsia="MS Gothic" w:hAnsi="Arial" w:cs="Times New Roman"/>
      <w:b/>
      <w:bCs/>
      <w:i/>
      <w:iCs/>
    </w:rPr>
  </w:style>
  <w:style w:type="character" w:customStyle="1" w:styleId="Heading5Char">
    <w:name w:val="Heading 5 Char"/>
    <w:link w:val="Heading5"/>
    <w:uiPriority w:val="99"/>
    <w:locked/>
    <w:rsid w:val="004B54CA"/>
    <w:rPr>
      <w:rFonts w:ascii="Arial" w:eastAsia="MS Gothic" w:hAnsi="Arial" w:cs="Times New Roman"/>
      <w:b/>
      <w:bCs/>
      <w:color w:val="7F7F7F"/>
    </w:rPr>
  </w:style>
  <w:style w:type="character" w:customStyle="1" w:styleId="Heading6Char">
    <w:name w:val="Heading 6 Char"/>
    <w:link w:val="Heading6"/>
    <w:uiPriority w:val="99"/>
    <w:locked/>
    <w:rsid w:val="004B54CA"/>
    <w:rPr>
      <w:rFonts w:ascii="Arial" w:eastAsia="MS Gothic" w:hAnsi="Arial" w:cs="Times New Roman"/>
      <w:b/>
      <w:bCs/>
      <w:i/>
      <w:iCs/>
      <w:color w:val="7F7F7F"/>
    </w:rPr>
  </w:style>
  <w:style w:type="character" w:customStyle="1" w:styleId="Heading7Char">
    <w:name w:val="Heading 7 Char"/>
    <w:link w:val="Heading7"/>
    <w:uiPriority w:val="99"/>
    <w:locked/>
    <w:rsid w:val="004B54CA"/>
    <w:rPr>
      <w:rFonts w:ascii="Arial" w:eastAsia="MS Gothic" w:hAnsi="Arial" w:cs="Times New Roman"/>
      <w:i/>
      <w:iCs/>
    </w:rPr>
  </w:style>
  <w:style w:type="character" w:customStyle="1" w:styleId="Heading8Char">
    <w:name w:val="Heading 8 Char"/>
    <w:link w:val="Heading8"/>
    <w:uiPriority w:val="99"/>
    <w:locked/>
    <w:rsid w:val="004B54CA"/>
    <w:rPr>
      <w:rFonts w:ascii="Arial" w:eastAsia="MS Gothic" w:hAnsi="Arial" w:cs="Times New Roman"/>
      <w:sz w:val="20"/>
      <w:szCs w:val="20"/>
    </w:rPr>
  </w:style>
  <w:style w:type="character" w:customStyle="1" w:styleId="Heading9Char">
    <w:name w:val="Heading 9 Char"/>
    <w:link w:val="Heading9"/>
    <w:uiPriority w:val="99"/>
    <w:locked/>
    <w:rsid w:val="004B54CA"/>
    <w:rPr>
      <w:rFonts w:ascii="Arial" w:eastAsia="MS Gothic" w:hAnsi="Arial" w:cs="Times New Roman"/>
      <w:i/>
      <w:iCs/>
      <w:spacing w:val="5"/>
      <w:sz w:val="20"/>
      <w:szCs w:val="20"/>
    </w:rPr>
  </w:style>
  <w:style w:type="paragraph" w:styleId="NoSpacing">
    <w:name w:val="No Spacing"/>
    <w:basedOn w:val="Normal"/>
    <w:link w:val="NoSpacingChar"/>
    <w:uiPriority w:val="99"/>
    <w:qFormat/>
    <w:rsid w:val="004B54CA"/>
    <w:pPr>
      <w:spacing w:after="0" w:line="240" w:lineRule="auto"/>
    </w:pPr>
  </w:style>
  <w:style w:type="paragraph" w:styleId="Title">
    <w:name w:val="Title"/>
    <w:basedOn w:val="Normal"/>
    <w:next w:val="Normal"/>
    <w:link w:val="TitleChar"/>
    <w:uiPriority w:val="99"/>
    <w:qFormat/>
    <w:rsid w:val="004B54CA"/>
    <w:pPr>
      <w:pBdr>
        <w:bottom w:val="single" w:sz="4" w:space="1" w:color="auto"/>
      </w:pBdr>
      <w:spacing w:line="240" w:lineRule="auto"/>
      <w:contextualSpacing/>
    </w:pPr>
    <w:rPr>
      <w:rFonts w:eastAsia="MS Gothic"/>
      <w:spacing w:val="5"/>
      <w:sz w:val="52"/>
      <w:szCs w:val="52"/>
    </w:rPr>
  </w:style>
  <w:style w:type="character" w:customStyle="1" w:styleId="TitleChar">
    <w:name w:val="Title Char"/>
    <w:link w:val="Title"/>
    <w:uiPriority w:val="99"/>
    <w:locked/>
    <w:rsid w:val="004B54CA"/>
    <w:rPr>
      <w:rFonts w:ascii="Arial" w:eastAsia="MS Gothic" w:hAnsi="Arial" w:cs="Times New Roman"/>
      <w:spacing w:val="5"/>
      <w:sz w:val="52"/>
      <w:szCs w:val="52"/>
    </w:rPr>
  </w:style>
  <w:style w:type="paragraph" w:styleId="Subtitle">
    <w:name w:val="Subtitle"/>
    <w:basedOn w:val="Normal"/>
    <w:next w:val="Normal"/>
    <w:link w:val="SubtitleChar"/>
    <w:uiPriority w:val="99"/>
    <w:qFormat/>
    <w:rsid w:val="004B54CA"/>
    <w:pPr>
      <w:spacing w:after="600"/>
    </w:pPr>
    <w:rPr>
      <w:rFonts w:eastAsia="MS Gothic"/>
      <w:i/>
      <w:iCs/>
      <w:spacing w:val="13"/>
      <w:sz w:val="24"/>
      <w:szCs w:val="24"/>
    </w:rPr>
  </w:style>
  <w:style w:type="character" w:customStyle="1" w:styleId="SubtitleChar">
    <w:name w:val="Subtitle Char"/>
    <w:link w:val="Subtitle"/>
    <w:uiPriority w:val="99"/>
    <w:locked/>
    <w:rsid w:val="004B54CA"/>
    <w:rPr>
      <w:rFonts w:ascii="Arial" w:eastAsia="MS Gothic" w:hAnsi="Arial" w:cs="Times New Roman"/>
      <w:i/>
      <w:iCs/>
      <w:spacing w:val="13"/>
      <w:sz w:val="24"/>
      <w:szCs w:val="24"/>
    </w:rPr>
  </w:style>
  <w:style w:type="character" w:styleId="SubtleEmphasis">
    <w:name w:val="Subtle Emphasis"/>
    <w:uiPriority w:val="99"/>
    <w:qFormat/>
    <w:rsid w:val="004B54CA"/>
    <w:rPr>
      <w:rFonts w:cs="Times New Roman"/>
      <w:i/>
    </w:rPr>
  </w:style>
  <w:style w:type="character" w:styleId="Strong">
    <w:name w:val="Strong"/>
    <w:uiPriority w:val="99"/>
    <w:qFormat/>
    <w:rsid w:val="004B54CA"/>
    <w:rPr>
      <w:rFonts w:cs="Times New Roman"/>
      <w:b/>
    </w:rPr>
  </w:style>
  <w:style w:type="paragraph" w:styleId="ListParagraph">
    <w:name w:val="List Paragraph"/>
    <w:basedOn w:val="Normal"/>
    <w:uiPriority w:val="34"/>
    <w:qFormat/>
    <w:rsid w:val="004B54CA"/>
    <w:pPr>
      <w:ind w:left="720"/>
      <w:contextualSpacing/>
    </w:pPr>
  </w:style>
  <w:style w:type="character" w:styleId="Emphasis">
    <w:name w:val="Emphasis"/>
    <w:uiPriority w:val="99"/>
    <w:qFormat/>
    <w:rsid w:val="004B54CA"/>
    <w:rPr>
      <w:rFonts w:cs="Times New Roman"/>
      <w:b/>
      <w:i/>
      <w:spacing w:val="10"/>
      <w:shd w:val="clear" w:color="auto" w:fill="auto"/>
    </w:rPr>
  </w:style>
  <w:style w:type="character" w:styleId="IntenseEmphasis">
    <w:name w:val="Intense Emphasis"/>
    <w:uiPriority w:val="99"/>
    <w:qFormat/>
    <w:rsid w:val="004B54CA"/>
    <w:rPr>
      <w:rFonts w:cs="Times New Roman"/>
      <w:b/>
    </w:rPr>
  </w:style>
  <w:style w:type="paragraph" w:styleId="Quote">
    <w:name w:val="Quote"/>
    <w:basedOn w:val="Normal"/>
    <w:next w:val="Normal"/>
    <w:link w:val="QuoteChar"/>
    <w:uiPriority w:val="99"/>
    <w:qFormat/>
    <w:rsid w:val="004B54CA"/>
    <w:pPr>
      <w:spacing w:before="200" w:after="0"/>
      <w:ind w:left="360" w:right="360"/>
    </w:pPr>
    <w:rPr>
      <w:i/>
      <w:iCs/>
    </w:rPr>
  </w:style>
  <w:style w:type="character" w:customStyle="1" w:styleId="QuoteChar">
    <w:name w:val="Quote Char"/>
    <w:link w:val="Quote"/>
    <w:uiPriority w:val="99"/>
    <w:locked/>
    <w:rsid w:val="004B54CA"/>
    <w:rPr>
      <w:rFonts w:ascii="Arial" w:hAnsi="Arial" w:cs="Times New Roman"/>
      <w:i/>
      <w:iCs/>
    </w:rPr>
  </w:style>
  <w:style w:type="paragraph" w:styleId="IntenseQuote">
    <w:name w:val="Intense Quote"/>
    <w:basedOn w:val="Normal"/>
    <w:next w:val="Normal"/>
    <w:link w:val="IntenseQuoteChar"/>
    <w:uiPriority w:val="99"/>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99"/>
    <w:locked/>
    <w:rsid w:val="004B54CA"/>
    <w:rPr>
      <w:rFonts w:ascii="Arial" w:hAnsi="Arial" w:cs="Times New Roman"/>
      <w:b/>
      <w:bCs/>
      <w:i/>
      <w:iCs/>
    </w:rPr>
  </w:style>
  <w:style w:type="character" w:styleId="SubtleReference">
    <w:name w:val="Subtle Reference"/>
    <w:uiPriority w:val="99"/>
    <w:qFormat/>
    <w:rsid w:val="004B54CA"/>
    <w:rPr>
      <w:rFonts w:cs="Times New Roman"/>
      <w:smallCaps/>
    </w:rPr>
  </w:style>
  <w:style w:type="character" w:styleId="IntenseReference">
    <w:name w:val="Intense Reference"/>
    <w:uiPriority w:val="99"/>
    <w:qFormat/>
    <w:rsid w:val="004B54CA"/>
    <w:rPr>
      <w:rFonts w:cs="Times New Roman"/>
      <w:smallCaps/>
      <w:spacing w:val="5"/>
      <w:u w:val="single"/>
    </w:rPr>
  </w:style>
  <w:style w:type="character" w:styleId="BookTitle">
    <w:name w:val="Book Title"/>
    <w:uiPriority w:val="99"/>
    <w:qFormat/>
    <w:rsid w:val="004B54CA"/>
    <w:rPr>
      <w:rFonts w:cs="Times New Roman"/>
      <w:i/>
      <w:smallCaps/>
      <w:spacing w:val="5"/>
    </w:rPr>
  </w:style>
  <w:style w:type="paragraph" w:styleId="Caption">
    <w:name w:val="caption"/>
    <w:basedOn w:val="Normal"/>
    <w:next w:val="Normal"/>
    <w:uiPriority w:val="99"/>
    <w:qFormat/>
    <w:rsid w:val="00785261"/>
    <w:rPr>
      <w:b/>
      <w:bCs/>
      <w:caps/>
      <w:sz w:val="16"/>
      <w:szCs w:val="18"/>
    </w:rPr>
  </w:style>
  <w:style w:type="paragraph" w:styleId="TOCHeading">
    <w:name w:val="TOC Heading"/>
    <w:basedOn w:val="Heading1"/>
    <w:next w:val="Normal"/>
    <w:uiPriority w:val="39"/>
    <w:qFormat/>
    <w:rsid w:val="004B54CA"/>
    <w:pPr>
      <w:outlineLvl w:val="9"/>
    </w:pPr>
  </w:style>
  <w:style w:type="character" w:customStyle="1" w:styleId="NoSpacingChar">
    <w:name w:val="No Spacing Char"/>
    <w:link w:val="NoSpacing"/>
    <w:uiPriority w:val="99"/>
    <w:locked/>
    <w:rsid w:val="004B54CA"/>
    <w:rPr>
      <w:rFonts w:ascii="Arial" w:hAnsi="Arial" w:cs="Times New Roman"/>
    </w:rPr>
  </w:style>
  <w:style w:type="character" w:styleId="Hyperlink">
    <w:name w:val="Hyperlink"/>
    <w:uiPriority w:val="99"/>
    <w:rsid w:val="001614AC"/>
    <w:rPr>
      <w:rFonts w:cs="Times New Roman"/>
      <w:color w:val="0000FF"/>
      <w:u w:val="single"/>
    </w:rPr>
  </w:style>
  <w:style w:type="table" w:styleId="TableGrid">
    <w:name w:val="Table Grid"/>
    <w:basedOn w:val="TableNormal"/>
    <w:uiPriority w:val="39"/>
    <w:rsid w:val="00161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1614AC"/>
    <w:pPr>
      <w:tabs>
        <w:tab w:val="center" w:pos="4513"/>
        <w:tab w:val="right" w:pos="9026"/>
      </w:tabs>
      <w:spacing w:after="0" w:line="240" w:lineRule="auto"/>
    </w:pPr>
  </w:style>
  <w:style w:type="character" w:customStyle="1" w:styleId="FooterChar">
    <w:name w:val="Footer Char"/>
    <w:link w:val="Footer"/>
    <w:uiPriority w:val="99"/>
    <w:locked/>
    <w:rsid w:val="001614AC"/>
    <w:rPr>
      <w:rFonts w:ascii="Arial" w:hAnsi="Arial" w:cs="Times New Roman"/>
    </w:rPr>
  </w:style>
  <w:style w:type="paragraph" w:styleId="BalloonText">
    <w:name w:val="Balloon Text"/>
    <w:basedOn w:val="Normal"/>
    <w:link w:val="BalloonTextChar"/>
    <w:uiPriority w:val="99"/>
    <w:semiHidden/>
    <w:rsid w:val="001614A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614AC"/>
    <w:rPr>
      <w:rFonts w:ascii="Tahoma" w:hAnsi="Tahoma" w:cs="Tahoma"/>
      <w:sz w:val="16"/>
      <w:szCs w:val="16"/>
    </w:rPr>
  </w:style>
  <w:style w:type="character" w:styleId="CommentReference">
    <w:name w:val="annotation reference"/>
    <w:uiPriority w:val="99"/>
    <w:semiHidden/>
    <w:rsid w:val="004C0431"/>
    <w:rPr>
      <w:rFonts w:cs="Times New Roman"/>
      <w:sz w:val="16"/>
      <w:szCs w:val="16"/>
    </w:rPr>
  </w:style>
  <w:style w:type="paragraph" w:styleId="CommentText">
    <w:name w:val="annotation text"/>
    <w:basedOn w:val="Normal"/>
    <w:link w:val="CommentTextChar"/>
    <w:uiPriority w:val="99"/>
    <w:semiHidden/>
    <w:rsid w:val="004C0431"/>
    <w:pPr>
      <w:spacing w:line="240" w:lineRule="auto"/>
    </w:pPr>
    <w:rPr>
      <w:sz w:val="20"/>
      <w:szCs w:val="20"/>
    </w:rPr>
  </w:style>
  <w:style w:type="character" w:customStyle="1" w:styleId="CommentTextChar">
    <w:name w:val="Comment Text Char"/>
    <w:link w:val="CommentText"/>
    <w:uiPriority w:val="99"/>
    <w:semiHidden/>
    <w:locked/>
    <w:rsid w:val="004C0431"/>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4C0431"/>
    <w:rPr>
      <w:b/>
      <w:bCs/>
    </w:rPr>
  </w:style>
  <w:style w:type="character" w:customStyle="1" w:styleId="CommentSubjectChar">
    <w:name w:val="Comment Subject Char"/>
    <w:link w:val="CommentSubject"/>
    <w:uiPriority w:val="99"/>
    <w:semiHidden/>
    <w:locked/>
    <w:rsid w:val="004C0431"/>
    <w:rPr>
      <w:rFonts w:ascii="Arial" w:hAnsi="Arial" w:cs="Times New Roman"/>
      <w:b/>
      <w:bCs/>
      <w:sz w:val="20"/>
      <w:szCs w:val="20"/>
    </w:rPr>
  </w:style>
  <w:style w:type="paragraph" w:styleId="NormalWeb">
    <w:name w:val="Normal (Web)"/>
    <w:basedOn w:val="Normal"/>
    <w:uiPriority w:val="99"/>
    <w:semiHidden/>
    <w:rsid w:val="00F34AEA"/>
    <w:pPr>
      <w:spacing w:before="100" w:beforeAutospacing="1" w:after="100" w:afterAutospacing="1" w:line="240" w:lineRule="auto"/>
    </w:pPr>
    <w:rPr>
      <w:rFonts w:ascii="Times New Roman" w:eastAsia="Times New Roman" w:hAnsi="Times New Roman"/>
      <w:sz w:val="24"/>
      <w:szCs w:val="24"/>
      <w:lang w:eastAsia="ja-JP"/>
    </w:rPr>
  </w:style>
  <w:style w:type="paragraph" w:styleId="Header">
    <w:name w:val="header"/>
    <w:basedOn w:val="Normal"/>
    <w:link w:val="HeaderChar"/>
    <w:uiPriority w:val="99"/>
    <w:rsid w:val="00AF6DDF"/>
    <w:pPr>
      <w:tabs>
        <w:tab w:val="center" w:pos="4513"/>
        <w:tab w:val="right" w:pos="9026"/>
      </w:tabs>
      <w:spacing w:after="0" w:line="240" w:lineRule="auto"/>
    </w:pPr>
  </w:style>
  <w:style w:type="character" w:customStyle="1" w:styleId="HeaderChar">
    <w:name w:val="Header Char"/>
    <w:link w:val="Header"/>
    <w:uiPriority w:val="99"/>
    <w:locked/>
    <w:rsid w:val="00AF6DDF"/>
    <w:rPr>
      <w:rFonts w:ascii="Arial" w:hAnsi="Arial" w:cs="Times New Roman"/>
    </w:rPr>
  </w:style>
  <w:style w:type="paragraph" w:styleId="Revision">
    <w:name w:val="Revision"/>
    <w:hidden/>
    <w:uiPriority w:val="99"/>
    <w:semiHidden/>
    <w:rsid w:val="006F1BA2"/>
    <w:rPr>
      <w:rFonts w:ascii="Arial" w:hAnsi="Arial"/>
      <w:sz w:val="22"/>
      <w:szCs w:val="22"/>
      <w:lang w:eastAsia="en-US"/>
    </w:rPr>
  </w:style>
  <w:style w:type="character" w:styleId="FollowedHyperlink">
    <w:name w:val="FollowedHyperlink"/>
    <w:uiPriority w:val="99"/>
    <w:semiHidden/>
    <w:locked/>
    <w:rsid w:val="00C81611"/>
    <w:rPr>
      <w:rFonts w:cs="Times New Roman"/>
      <w:color w:val="800080"/>
      <w:u w:val="single"/>
    </w:rPr>
  </w:style>
  <w:style w:type="paragraph" w:styleId="TOC2">
    <w:name w:val="toc 2"/>
    <w:basedOn w:val="Normal"/>
    <w:next w:val="Normal"/>
    <w:autoRedefine/>
    <w:uiPriority w:val="39"/>
    <w:unhideWhenUsed/>
    <w:rsid w:val="006C2423"/>
    <w:pPr>
      <w:spacing w:after="100" w:line="259" w:lineRule="auto"/>
      <w:ind w:left="220"/>
    </w:pPr>
    <w:rPr>
      <w:rFonts w:asciiTheme="minorHAnsi" w:eastAsiaTheme="minorEastAsia" w:hAnsiTheme="minorHAnsi"/>
      <w:lang w:val="en-US"/>
    </w:rPr>
  </w:style>
  <w:style w:type="paragraph" w:styleId="TOC1">
    <w:name w:val="toc 1"/>
    <w:basedOn w:val="Normal"/>
    <w:next w:val="Normal"/>
    <w:autoRedefine/>
    <w:uiPriority w:val="39"/>
    <w:unhideWhenUsed/>
    <w:rsid w:val="006C2423"/>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6C2423"/>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81b91f08-0e26-4621-966f-8e4ddcb611e3" xsi:nil="true"/>
    <SharedWithUsers xmlns="82daad87-dae6-4b9e-8576-6faf0a2d7bec">
      <UserInfo>
        <DisplayName>Support Coordinator | The Junction Clubhouse Cairns Limited</DisplayName>
        <AccountId>408</AccountId>
        <AccountType/>
      </UserInfo>
      <UserInfo>
        <DisplayName>Samantha Santarossa</DisplayName>
        <AccountId>20</AccountId>
        <AccountType/>
      </UserInfo>
    </SharedWithUsers>
    <lcf76f155ced4ddcb4097134ff3c332f xmlns="81b91f08-0e26-4621-966f-8e4ddcb611e3">
      <Terms xmlns="http://schemas.microsoft.com/office/infopath/2007/PartnerControls"/>
    </lcf76f155ced4ddcb4097134ff3c332f>
    <TaxCatchAll xmlns="82daad87-dae6-4b9e-8576-6faf0a2d7be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5131F864ED1468F66C6FF7AF4AF79" ma:contentTypeVersion="17" ma:contentTypeDescription="Create a new document." ma:contentTypeScope="" ma:versionID="3ed224fd10364b76868ff65614405ecc">
  <xsd:schema xmlns:xsd="http://www.w3.org/2001/XMLSchema" xmlns:xs="http://www.w3.org/2001/XMLSchema" xmlns:p="http://schemas.microsoft.com/office/2006/metadata/properties" xmlns:ns2="81b91f08-0e26-4621-966f-8e4ddcb611e3" xmlns:ns3="82daad87-dae6-4b9e-8576-6faf0a2d7bec" targetNamespace="http://schemas.microsoft.com/office/2006/metadata/properties" ma:root="true" ma:fieldsID="b80abdc62eec92b3b371fe177b5b598d" ns2:_="" ns3:_="">
    <xsd:import namespace="81b91f08-0e26-4621-966f-8e4ddcb611e3"/>
    <xsd:import namespace="82daad87-dae6-4b9e-8576-6faf0a2d7b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91f08-0e26-4621-966f-8e4ddcb611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609526a-5e61-40ac-9e09-1833be0c03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daad87-dae6-4b9e-8576-6faf0a2d7b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1a83fc5-14e6-49c3-84e6-4ec4bf773449}" ma:internalName="TaxCatchAll" ma:showField="CatchAllData" ma:web="82daad87-dae6-4b9e-8576-6faf0a2d7b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7C53-27E2-4361-8429-4919C31D8AA2}">
  <ds:schemaRefs>
    <ds:schemaRef ds:uri="http://schemas.microsoft.com/sharepoint/v3/contenttype/forms"/>
  </ds:schemaRefs>
</ds:datastoreItem>
</file>

<file path=customXml/itemProps2.xml><?xml version="1.0" encoding="utf-8"?>
<ds:datastoreItem xmlns:ds="http://schemas.openxmlformats.org/officeDocument/2006/customXml" ds:itemID="{E68E130D-1AE5-4A0B-A0AD-C32656F005D8}">
  <ds:schemaRefs>
    <ds:schemaRef ds:uri="http://schemas.microsoft.com/office/2006/metadata/properties"/>
    <ds:schemaRef ds:uri="http://schemas.microsoft.com/office/infopath/2007/PartnerControls"/>
    <ds:schemaRef ds:uri="81b91f08-0e26-4621-966f-8e4ddcb611e3"/>
    <ds:schemaRef ds:uri="82daad87-dae6-4b9e-8576-6faf0a2d7bec"/>
  </ds:schemaRefs>
</ds:datastoreItem>
</file>

<file path=customXml/itemProps3.xml><?xml version="1.0" encoding="utf-8"?>
<ds:datastoreItem xmlns:ds="http://schemas.openxmlformats.org/officeDocument/2006/customXml" ds:itemID="{EDBC00FC-ED07-4008-BD53-62E7A2D44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91f08-0e26-4621-966f-8e4ddcb611e3"/>
    <ds:schemaRef ds:uri="82daad87-dae6-4b9e-8576-6faf0a2d7b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28C8AA-33F1-44F5-B9CC-D30182DDD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1991</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Consent to Exchange Information</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Exchange Information</dc:title>
  <dc:subject>Form</dc:subject>
  <dc:creator>NDIS</dc:creator>
  <cp:keywords>ndis; consent; exchange; information; form;</cp:keywords>
  <cp:lastModifiedBy>Manager | The Junction Clubhouse Cairns Limited</cp:lastModifiedBy>
  <cp:revision>2</cp:revision>
  <cp:lastPrinted>2022-05-17T06:31:00Z</cp:lastPrinted>
  <dcterms:created xsi:type="dcterms:W3CDTF">2022-11-01T03:32:00Z</dcterms:created>
  <dcterms:modified xsi:type="dcterms:W3CDTF">2022-11-01T03:32:00Z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0x0101005745131F864ED1468F66C6FF7AF4AF79</vt:lpwstr>
  </property>
  <property fmtid="{D5CDD505-2E9C-101B-9397-08002B2CF9AE}" pid="3" name="Order">
    <vt:r8>409500</vt:r8>
  </property>
  <property fmtid="{D5CDD505-2E9C-101B-9397-08002B2CF9AE}" pid="4" name="NDIAAudience">
    <vt:lpwstr>1;#All staff|60152733-a6e9-4070-8d91-7ad5c325687c</vt:lpwstr>
  </property>
  <property fmtid="{D5CDD505-2E9C-101B-9397-08002B2CF9AE}" pid="5" name="TaxKeyword">
    <vt:lpwstr/>
  </property>
  <property fmtid="{D5CDD505-2E9C-101B-9397-08002B2CF9AE}" pid="6" name="DocumentStatus">
    <vt:lpwstr/>
  </property>
  <property fmtid="{D5CDD505-2E9C-101B-9397-08002B2CF9AE}" pid="7" name="NDIALocation">
    <vt:lpwstr>2;#Australia-wide|128ca0ae-5e24-49e1-a2ce-f7dc74366abc</vt:lpwstr>
  </property>
  <property fmtid="{D5CDD505-2E9C-101B-9397-08002B2CF9AE}" pid="8" name="DocumentType">
    <vt:lpwstr/>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SharedWithUsers">
    <vt:lpwstr>408;#Support Coordinator</vt:lpwstr>
  </property>
  <property fmtid="{D5CDD505-2E9C-101B-9397-08002B2CF9AE}" pid="14" name="_ExtendedDescription">
    <vt:lpwstr/>
  </property>
  <property fmtid="{D5CDD505-2E9C-101B-9397-08002B2CF9AE}" pid="15" name="TriggerFlowInfo">
    <vt:lpwstr/>
  </property>
  <property fmtid="{D5CDD505-2E9C-101B-9397-08002B2CF9AE}" pid="16" name="MediaServiceImageTags">
    <vt:lpwstr/>
  </property>
</Properties>
</file>